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670"/>
      </w:tblGrid>
      <w:tr w:rsidR="004829C2" w:rsidRPr="001F02F0" w:rsidTr="001F02F0">
        <w:tc>
          <w:tcPr>
            <w:tcW w:w="4503" w:type="dxa"/>
          </w:tcPr>
          <w:p w:rsidR="004829C2" w:rsidRPr="001F02F0" w:rsidRDefault="004829C2" w:rsidP="001F02F0">
            <w:pPr>
              <w:pStyle w:val="BodyText"/>
              <w:spacing w:line="312" w:lineRule="auto"/>
              <w:jc w:val="center"/>
              <w:rPr>
                <w:b/>
                <w:lang w:val="fr-FR"/>
              </w:rPr>
            </w:pPr>
            <w:r w:rsidRPr="001F02F0">
              <w:rPr>
                <w:b/>
                <w:lang w:val="fr-FR"/>
              </w:rPr>
              <w:t>CÔNG TY CỔ PHẦN NHỰA</w:t>
            </w:r>
          </w:p>
          <w:p w:rsidR="004829C2" w:rsidRPr="001F02F0" w:rsidRDefault="004829C2" w:rsidP="001F02F0">
            <w:pPr>
              <w:pStyle w:val="BodyText"/>
              <w:spacing w:line="312" w:lineRule="auto"/>
              <w:jc w:val="center"/>
              <w:rPr>
                <w:b/>
                <w:lang w:val="fr-FR"/>
              </w:rPr>
            </w:pPr>
            <w:r w:rsidRPr="001F02F0">
              <w:rPr>
                <w:b/>
                <w:lang w:val="fr-FR"/>
              </w:rPr>
              <w:t>VÀ MÔI TRƯỜNG XANH AN PHÁT</w:t>
            </w:r>
          </w:p>
          <w:p w:rsidR="004829C2" w:rsidRPr="001F02F0" w:rsidRDefault="004829C2" w:rsidP="001F02F0">
            <w:pPr>
              <w:pStyle w:val="BodyText"/>
              <w:spacing w:line="312" w:lineRule="auto"/>
              <w:jc w:val="center"/>
              <w:rPr>
                <w:b/>
                <w:lang w:val="fr-FR"/>
              </w:rPr>
            </w:pPr>
            <w:r w:rsidRPr="001F02F0">
              <w:rPr>
                <w:b/>
                <w:lang w:val="fr-FR"/>
              </w:rPr>
              <w:t>------------</w:t>
            </w:r>
          </w:p>
          <w:p w:rsidR="004829C2" w:rsidRPr="001F02F0" w:rsidRDefault="00A632A1" w:rsidP="00D16EF0">
            <w:pPr>
              <w:pStyle w:val="BodyText"/>
              <w:spacing w:line="312" w:lineRule="auto"/>
              <w:jc w:val="center"/>
            </w:pPr>
            <w:r>
              <w:t xml:space="preserve">Số: </w:t>
            </w:r>
            <w:r w:rsidR="004829C2" w:rsidRPr="001F02F0">
              <w:t>01/201</w:t>
            </w:r>
            <w:r w:rsidR="00D16EF0">
              <w:t>6</w:t>
            </w:r>
            <w:r w:rsidR="004829C2" w:rsidRPr="001F02F0">
              <w:t>/TT-HĐQT</w:t>
            </w:r>
          </w:p>
        </w:tc>
        <w:tc>
          <w:tcPr>
            <w:tcW w:w="5670" w:type="dxa"/>
          </w:tcPr>
          <w:p w:rsidR="004829C2" w:rsidRPr="001F02F0" w:rsidRDefault="004829C2" w:rsidP="001F02F0">
            <w:pPr>
              <w:pStyle w:val="BodyText"/>
              <w:spacing w:line="312" w:lineRule="auto"/>
              <w:jc w:val="center"/>
              <w:rPr>
                <w:b/>
              </w:rPr>
            </w:pPr>
            <w:r w:rsidRPr="001F02F0">
              <w:rPr>
                <w:b/>
              </w:rPr>
              <w:t>CỘNG HÒA XÃ HỘI CHỦ NGHĨA VIỆT NAM</w:t>
            </w:r>
          </w:p>
          <w:p w:rsidR="004829C2" w:rsidRPr="001F02F0" w:rsidRDefault="004829C2" w:rsidP="001F02F0">
            <w:pPr>
              <w:pStyle w:val="BodyText"/>
              <w:spacing w:line="312" w:lineRule="auto"/>
              <w:jc w:val="center"/>
              <w:rPr>
                <w:b/>
              </w:rPr>
            </w:pPr>
            <w:r w:rsidRPr="001F02F0">
              <w:rPr>
                <w:b/>
              </w:rPr>
              <w:t>Độc lập – Tự do – Hạnh phúc</w:t>
            </w:r>
          </w:p>
          <w:p w:rsidR="004829C2" w:rsidRPr="001F02F0" w:rsidRDefault="00406181" w:rsidP="001F02F0">
            <w:pPr>
              <w:pStyle w:val="BodyText"/>
              <w:spacing w:line="312" w:lineRule="auto"/>
              <w:jc w:val="center"/>
              <w:rPr>
                <w:i/>
              </w:rPr>
            </w:pPr>
            <w:r w:rsidRPr="001F02F0">
              <w:rPr>
                <w:i/>
              </w:rPr>
              <w:t>---o0o---</w:t>
            </w:r>
          </w:p>
          <w:p w:rsidR="004829C2" w:rsidRPr="001F02F0" w:rsidRDefault="004C6EEA" w:rsidP="00D16EF0">
            <w:pPr>
              <w:pStyle w:val="BodyText"/>
              <w:spacing w:line="312" w:lineRule="auto"/>
              <w:jc w:val="right"/>
              <w:rPr>
                <w:i/>
              </w:rPr>
            </w:pPr>
            <w:r>
              <w:rPr>
                <w:i/>
              </w:rPr>
              <w:t xml:space="preserve">Hải Dương, ngày </w:t>
            </w:r>
            <w:r w:rsidR="00D16EF0">
              <w:rPr>
                <w:i/>
              </w:rPr>
              <w:t>01</w:t>
            </w:r>
            <w:r w:rsidR="00F130C6">
              <w:rPr>
                <w:i/>
              </w:rPr>
              <w:t xml:space="preserve"> tháng </w:t>
            </w:r>
            <w:r w:rsidR="00CD7888">
              <w:rPr>
                <w:i/>
              </w:rPr>
              <w:t>0</w:t>
            </w:r>
            <w:r w:rsidR="00D16EF0">
              <w:rPr>
                <w:i/>
              </w:rPr>
              <w:t>3</w:t>
            </w:r>
            <w:r w:rsidR="00083402">
              <w:rPr>
                <w:i/>
              </w:rPr>
              <w:t xml:space="preserve"> </w:t>
            </w:r>
            <w:r w:rsidR="004829C2" w:rsidRPr="001F02F0">
              <w:rPr>
                <w:i/>
              </w:rPr>
              <w:t>năm 201</w:t>
            </w:r>
            <w:r w:rsidR="00D16EF0">
              <w:rPr>
                <w:i/>
              </w:rPr>
              <w:t>6</w:t>
            </w:r>
          </w:p>
        </w:tc>
      </w:tr>
    </w:tbl>
    <w:p w:rsidR="00283F49" w:rsidRPr="00283F49" w:rsidRDefault="00283F49" w:rsidP="001F02F0">
      <w:pPr>
        <w:spacing w:before="120" w:after="120" w:line="312" w:lineRule="auto"/>
        <w:jc w:val="center"/>
        <w:rPr>
          <w:b/>
          <w:sz w:val="2"/>
          <w:szCs w:val="28"/>
        </w:rPr>
      </w:pPr>
    </w:p>
    <w:p w:rsidR="004829C2" w:rsidRDefault="004829C2" w:rsidP="001F02F0">
      <w:pPr>
        <w:spacing w:before="120" w:after="120" w:line="312" w:lineRule="auto"/>
        <w:jc w:val="center"/>
        <w:rPr>
          <w:b/>
          <w:sz w:val="28"/>
          <w:szCs w:val="28"/>
        </w:rPr>
      </w:pPr>
      <w:r w:rsidRPr="001E7BA8">
        <w:rPr>
          <w:b/>
          <w:sz w:val="28"/>
          <w:szCs w:val="28"/>
        </w:rPr>
        <w:t>TỜ TRÌNH CỦA HỘI ĐỒNG QUẢN TRỊ</w:t>
      </w:r>
    </w:p>
    <w:p w:rsidR="00DF2B78" w:rsidRPr="00DF2B78" w:rsidRDefault="00C11448" w:rsidP="001F02F0">
      <w:pPr>
        <w:spacing w:before="120" w:after="120" w:line="312" w:lineRule="auto"/>
        <w:jc w:val="center"/>
        <w:rPr>
          <w:i/>
          <w:sz w:val="26"/>
          <w:szCs w:val="28"/>
        </w:rPr>
      </w:pPr>
      <w:r>
        <w:rPr>
          <w:i/>
          <w:sz w:val="26"/>
          <w:szCs w:val="28"/>
        </w:rPr>
        <w:t>Tại Đại hội đồng cổ đông thường niên Công ty năm 201</w:t>
      </w:r>
      <w:r w:rsidR="00D16EF0">
        <w:rPr>
          <w:i/>
          <w:sz w:val="26"/>
          <w:szCs w:val="28"/>
        </w:rPr>
        <w:t>6</w:t>
      </w:r>
      <w:r>
        <w:rPr>
          <w:i/>
          <w:sz w:val="26"/>
          <w:szCs w:val="28"/>
        </w:rPr>
        <w:t xml:space="preserve"> </w:t>
      </w:r>
    </w:p>
    <w:p w:rsidR="004829C2" w:rsidRPr="00F86E0C" w:rsidRDefault="004829C2" w:rsidP="003F542C">
      <w:pPr>
        <w:spacing w:before="120" w:after="120" w:line="312" w:lineRule="auto"/>
        <w:jc w:val="center"/>
        <w:rPr>
          <w:b/>
          <w:sz w:val="28"/>
          <w:szCs w:val="26"/>
        </w:rPr>
      </w:pPr>
      <w:r w:rsidRPr="00F86E0C">
        <w:rPr>
          <w:b/>
          <w:sz w:val="28"/>
          <w:szCs w:val="26"/>
          <w:u w:val="single"/>
        </w:rPr>
        <w:t>Kính gửi</w:t>
      </w:r>
      <w:r w:rsidRPr="00F86E0C">
        <w:rPr>
          <w:b/>
          <w:sz w:val="28"/>
          <w:szCs w:val="26"/>
        </w:rPr>
        <w:t>:</w:t>
      </w:r>
      <w:r w:rsidR="00F86E0C">
        <w:rPr>
          <w:b/>
          <w:sz w:val="28"/>
          <w:szCs w:val="26"/>
        </w:rPr>
        <w:t xml:space="preserve"> </w:t>
      </w:r>
      <w:r w:rsidR="003F542C">
        <w:rPr>
          <w:b/>
          <w:sz w:val="28"/>
          <w:szCs w:val="26"/>
        </w:rPr>
        <w:t xml:space="preserve"> </w:t>
      </w:r>
      <w:r w:rsidRPr="00F86E0C">
        <w:rPr>
          <w:b/>
          <w:sz w:val="28"/>
          <w:szCs w:val="26"/>
        </w:rPr>
        <w:t>Đại hội đồng cổ đông Công ty!</w:t>
      </w:r>
    </w:p>
    <w:p w:rsidR="004829C2" w:rsidRPr="001E7BA8" w:rsidRDefault="004829C2" w:rsidP="004829C2">
      <w:pPr>
        <w:spacing w:before="120" w:after="120" w:line="312" w:lineRule="auto"/>
        <w:ind w:firstLine="540"/>
        <w:jc w:val="both"/>
        <w:rPr>
          <w:sz w:val="26"/>
          <w:szCs w:val="26"/>
        </w:rPr>
      </w:pPr>
      <w:r w:rsidRPr="001E7BA8">
        <w:rPr>
          <w:sz w:val="26"/>
          <w:szCs w:val="26"/>
        </w:rPr>
        <w:t>Hội đồng quản trị đề nghị Đại hội đồng cổ đông thảo luận và biểu quyết thông qua các nội dung sau đây:</w:t>
      </w:r>
    </w:p>
    <w:p w:rsidR="00296530" w:rsidRDefault="00BB0357" w:rsidP="00296530">
      <w:pPr>
        <w:numPr>
          <w:ilvl w:val="0"/>
          <w:numId w:val="3"/>
        </w:numPr>
        <w:tabs>
          <w:tab w:val="clear" w:pos="1080"/>
        </w:tabs>
        <w:spacing w:before="120" w:after="120" w:line="312" w:lineRule="auto"/>
        <w:ind w:left="0" w:firstLine="0"/>
        <w:jc w:val="both"/>
        <w:rPr>
          <w:b/>
          <w:sz w:val="26"/>
          <w:szCs w:val="26"/>
          <w:lang w:val="fr-FR"/>
        </w:rPr>
      </w:pPr>
      <w:r>
        <w:rPr>
          <w:b/>
          <w:sz w:val="26"/>
          <w:szCs w:val="26"/>
          <w:lang w:val="fr-FR"/>
        </w:rPr>
        <w:t>Thông qua p</w:t>
      </w:r>
      <w:r w:rsidR="008A5CF6">
        <w:rPr>
          <w:b/>
          <w:sz w:val="26"/>
          <w:szCs w:val="26"/>
          <w:lang w:val="fr-FR"/>
        </w:rPr>
        <w:t xml:space="preserve">hương án </w:t>
      </w:r>
      <w:r w:rsidR="00A720EF">
        <w:rPr>
          <w:b/>
          <w:sz w:val="26"/>
          <w:szCs w:val="26"/>
          <w:lang w:val="fr-FR"/>
        </w:rPr>
        <w:t xml:space="preserve">phân </w:t>
      </w:r>
      <w:r w:rsidR="008A5CF6">
        <w:rPr>
          <w:b/>
          <w:sz w:val="26"/>
          <w:szCs w:val="26"/>
          <w:lang w:val="fr-FR"/>
        </w:rPr>
        <w:t>chia lợi nhuận</w:t>
      </w:r>
      <w:r w:rsidR="00296530">
        <w:rPr>
          <w:b/>
          <w:sz w:val="26"/>
          <w:szCs w:val="26"/>
          <w:lang w:val="fr-FR"/>
        </w:rPr>
        <w:t xml:space="preserve"> của </w:t>
      </w:r>
      <w:r w:rsidR="003F542C">
        <w:rPr>
          <w:b/>
          <w:sz w:val="26"/>
          <w:szCs w:val="26"/>
          <w:lang w:val="fr-FR"/>
        </w:rPr>
        <w:t>C</w:t>
      </w:r>
      <w:r w:rsidR="004D2690">
        <w:rPr>
          <w:b/>
          <w:sz w:val="26"/>
          <w:szCs w:val="26"/>
          <w:lang w:val="fr-FR"/>
        </w:rPr>
        <w:t>ông ty năm 201</w:t>
      </w:r>
      <w:r w:rsidR="00D16EF0">
        <w:rPr>
          <w:b/>
          <w:sz w:val="26"/>
          <w:szCs w:val="26"/>
          <w:lang w:val="fr-FR"/>
        </w:rPr>
        <w:t>5</w:t>
      </w:r>
    </w:p>
    <w:p w:rsidR="003B328A" w:rsidRPr="003B328A" w:rsidRDefault="003B328A" w:rsidP="003B328A">
      <w:pPr>
        <w:pStyle w:val="ListParagraph"/>
        <w:numPr>
          <w:ilvl w:val="1"/>
          <w:numId w:val="3"/>
        </w:numPr>
        <w:spacing w:before="120" w:after="120" w:line="312" w:lineRule="auto"/>
        <w:jc w:val="both"/>
        <w:rPr>
          <w:b/>
          <w:sz w:val="26"/>
          <w:szCs w:val="26"/>
          <w:lang w:val="fr-FR"/>
        </w:rPr>
      </w:pPr>
      <w:r>
        <w:rPr>
          <w:b/>
          <w:sz w:val="26"/>
          <w:szCs w:val="26"/>
          <w:lang w:val="fr-FR"/>
        </w:rPr>
        <w:t xml:space="preserve">Phương án phân phối lợi nhuận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207"/>
        <w:gridCol w:w="973"/>
        <w:gridCol w:w="2330"/>
      </w:tblGrid>
      <w:tr w:rsidR="001031AC" w:rsidTr="00DC6B20">
        <w:trPr>
          <w:trHeight w:val="1078"/>
        </w:trPr>
        <w:tc>
          <w:tcPr>
            <w:tcW w:w="1016" w:type="dxa"/>
            <w:vAlign w:val="center"/>
          </w:tcPr>
          <w:p w:rsidR="001031AC" w:rsidRPr="00491F3A" w:rsidRDefault="001031AC" w:rsidP="00143543">
            <w:pPr>
              <w:widowControl w:val="0"/>
              <w:suppressAutoHyphens/>
              <w:jc w:val="center"/>
              <w:rPr>
                <w:b/>
                <w:sz w:val="26"/>
                <w:lang w:val="fr-FR"/>
              </w:rPr>
            </w:pPr>
            <w:r w:rsidRPr="00491F3A">
              <w:rPr>
                <w:b/>
                <w:sz w:val="26"/>
                <w:lang w:val="fr-FR"/>
              </w:rPr>
              <w:t>STT</w:t>
            </w:r>
          </w:p>
        </w:tc>
        <w:tc>
          <w:tcPr>
            <w:tcW w:w="5207" w:type="dxa"/>
            <w:vAlign w:val="center"/>
          </w:tcPr>
          <w:p w:rsidR="001031AC" w:rsidRPr="00491F3A" w:rsidRDefault="001031AC" w:rsidP="00143543">
            <w:pPr>
              <w:widowControl w:val="0"/>
              <w:suppressAutoHyphens/>
              <w:jc w:val="center"/>
              <w:rPr>
                <w:b/>
                <w:sz w:val="26"/>
                <w:lang w:val="fr-FR"/>
              </w:rPr>
            </w:pPr>
            <w:r w:rsidRPr="00491F3A">
              <w:rPr>
                <w:b/>
                <w:sz w:val="26"/>
                <w:lang w:val="fr-FR"/>
              </w:rPr>
              <w:t>Diễn giải</w:t>
            </w:r>
          </w:p>
        </w:tc>
        <w:tc>
          <w:tcPr>
            <w:tcW w:w="973" w:type="dxa"/>
            <w:vAlign w:val="center"/>
          </w:tcPr>
          <w:p w:rsidR="001031AC" w:rsidRPr="00491F3A" w:rsidRDefault="001031AC" w:rsidP="00143543">
            <w:pPr>
              <w:widowControl w:val="0"/>
              <w:suppressAutoHyphens/>
              <w:jc w:val="center"/>
              <w:rPr>
                <w:b/>
                <w:sz w:val="26"/>
                <w:lang w:val="fr-FR"/>
              </w:rPr>
            </w:pPr>
            <w:r w:rsidRPr="00491F3A">
              <w:rPr>
                <w:b/>
                <w:sz w:val="26"/>
                <w:lang w:val="fr-FR"/>
              </w:rPr>
              <w:t>Tỷ lệ (%)</w:t>
            </w:r>
          </w:p>
        </w:tc>
        <w:tc>
          <w:tcPr>
            <w:tcW w:w="2330" w:type="dxa"/>
            <w:vAlign w:val="center"/>
          </w:tcPr>
          <w:p w:rsidR="001031AC" w:rsidRPr="00491F3A" w:rsidRDefault="001031AC" w:rsidP="00143543">
            <w:pPr>
              <w:widowControl w:val="0"/>
              <w:suppressAutoHyphens/>
              <w:jc w:val="center"/>
              <w:rPr>
                <w:b/>
                <w:sz w:val="26"/>
                <w:lang w:val="fr-FR"/>
              </w:rPr>
            </w:pPr>
            <w:r w:rsidRPr="00491F3A">
              <w:rPr>
                <w:b/>
                <w:sz w:val="26"/>
                <w:lang w:val="fr-FR"/>
              </w:rPr>
              <w:t>Thành tiền</w:t>
            </w:r>
          </w:p>
          <w:p w:rsidR="001031AC" w:rsidRPr="00491F3A" w:rsidRDefault="001031AC" w:rsidP="00143543">
            <w:pPr>
              <w:widowControl w:val="0"/>
              <w:suppressAutoHyphens/>
              <w:jc w:val="center"/>
              <w:rPr>
                <w:b/>
                <w:sz w:val="26"/>
                <w:lang w:val="fr-FR"/>
              </w:rPr>
            </w:pPr>
            <w:r w:rsidRPr="00491F3A">
              <w:rPr>
                <w:b/>
                <w:sz w:val="26"/>
                <w:lang w:val="fr-FR"/>
              </w:rPr>
              <w:t>(Đồng)</w:t>
            </w:r>
          </w:p>
        </w:tc>
      </w:tr>
      <w:tr w:rsidR="001031AC" w:rsidTr="00DC6B20">
        <w:trPr>
          <w:trHeight w:val="491"/>
        </w:trPr>
        <w:tc>
          <w:tcPr>
            <w:tcW w:w="6223" w:type="dxa"/>
            <w:gridSpan w:val="2"/>
            <w:vAlign w:val="center"/>
          </w:tcPr>
          <w:p w:rsidR="001031AC" w:rsidRPr="00491F3A" w:rsidRDefault="001031AC" w:rsidP="00143543">
            <w:pPr>
              <w:widowControl w:val="0"/>
              <w:suppressAutoHyphens/>
              <w:jc w:val="center"/>
              <w:rPr>
                <w:b/>
                <w:sz w:val="26"/>
                <w:lang w:val="fr-FR"/>
              </w:rPr>
            </w:pPr>
            <w:r>
              <w:rPr>
                <w:b/>
                <w:sz w:val="26"/>
                <w:lang w:val="fr-FR"/>
              </w:rPr>
              <w:t>TỔNG LỢI NHUẬN SAU THUẾ</w:t>
            </w:r>
            <w:r w:rsidR="00D64266">
              <w:rPr>
                <w:b/>
                <w:sz w:val="26"/>
                <w:lang w:val="fr-FR"/>
              </w:rPr>
              <w:t xml:space="preserve"> *</w:t>
            </w:r>
          </w:p>
        </w:tc>
        <w:tc>
          <w:tcPr>
            <w:tcW w:w="973" w:type="dxa"/>
            <w:vAlign w:val="center"/>
          </w:tcPr>
          <w:p w:rsidR="001031AC" w:rsidRPr="00491F3A" w:rsidRDefault="001031AC" w:rsidP="00143543">
            <w:pPr>
              <w:widowControl w:val="0"/>
              <w:suppressAutoHyphens/>
              <w:jc w:val="right"/>
              <w:rPr>
                <w:b/>
                <w:sz w:val="26"/>
                <w:lang w:val="fr-FR"/>
              </w:rPr>
            </w:pPr>
            <w:r>
              <w:rPr>
                <w:b/>
                <w:sz w:val="26"/>
                <w:lang w:val="fr-FR"/>
              </w:rPr>
              <w:t>100</w:t>
            </w:r>
          </w:p>
        </w:tc>
        <w:tc>
          <w:tcPr>
            <w:tcW w:w="2330" w:type="dxa"/>
            <w:vAlign w:val="center"/>
          </w:tcPr>
          <w:p w:rsidR="001031AC" w:rsidRPr="00AC522E" w:rsidRDefault="001C04FB" w:rsidP="00AC522E">
            <w:pPr>
              <w:jc w:val="right"/>
              <w:rPr>
                <w:b/>
                <w:bCs/>
              </w:rPr>
            </w:pPr>
            <w:r>
              <w:rPr>
                <w:b/>
                <w:bCs/>
              </w:rPr>
              <w:t>40.015.870.985</w:t>
            </w:r>
          </w:p>
        </w:tc>
      </w:tr>
      <w:tr w:rsidR="001C04FB" w:rsidTr="00DC6B20">
        <w:trPr>
          <w:trHeight w:val="540"/>
        </w:trPr>
        <w:tc>
          <w:tcPr>
            <w:tcW w:w="1016" w:type="dxa"/>
            <w:vAlign w:val="center"/>
          </w:tcPr>
          <w:p w:rsidR="001C04FB" w:rsidRPr="00491F3A" w:rsidRDefault="001C04FB" w:rsidP="00143543">
            <w:pPr>
              <w:widowControl w:val="0"/>
              <w:suppressAutoHyphens/>
              <w:jc w:val="center"/>
              <w:rPr>
                <w:sz w:val="26"/>
                <w:lang w:val="fr-FR"/>
              </w:rPr>
            </w:pPr>
            <w:r>
              <w:rPr>
                <w:sz w:val="26"/>
                <w:lang w:val="fr-FR"/>
              </w:rPr>
              <w:t>1</w:t>
            </w:r>
          </w:p>
        </w:tc>
        <w:tc>
          <w:tcPr>
            <w:tcW w:w="5207" w:type="dxa"/>
            <w:vAlign w:val="center"/>
          </w:tcPr>
          <w:p w:rsidR="001C04FB" w:rsidRPr="00491F3A" w:rsidRDefault="001C04FB" w:rsidP="00143543">
            <w:pPr>
              <w:widowControl w:val="0"/>
              <w:suppressAutoHyphens/>
              <w:rPr>
                <w:sz w:val="26"/>
                <w:lang w:val="fr-FR"/>
              </w:rPr>
            </w:pPr>
            <w:r w:rsidRPr="00491F3A">
              <w:rPr>
                <w:sz w:val="26"/>
                <w:lang w:val="fr-FR"/>
              </w:rPr>
              <w:t>Trích Quỹ khen thưởng phúc lợi</w:t>
            </w:r>
          </w:p>
        </w:tc>
        <w:tc>
          <w:tcPr>
            <w:tcW w:w="973" w:type="dxa"/>
            <w:vAlign w:val="bottom"/>
          </w:tcPr>
          <w:p w:rsidR="001C04FB" w:rsidRPr="001C04FB" w:rsidRDefault="007260D7" w:rsidP="001C04FB">
            <w:pPr>
              <w:jc w:val="right"/>
              <w:rPr>
                <w:color w:val="000000"/>
              </w:rPr>
            </w:pPr>
            <w:r>
              <w:rPr>
                <w:color w:val="000000"/>
                <w:sz w:val="22"/>
                <w:szCs w:val="22"/>
              </w:rPr>
              <w:t>9,4</w:t>
            </w:r>
          </w:p>
        </w:tc>
        <w:tc>
          <w:tcPr>
            <w:tcW w:w="2330" w:type="dxa"/>
            <w:vAlign w:val="bottom"/>
          </w:tcPr>
          <w:p w:rsidR="007260D7" w:rsidRPr="007260D7" w:rsidRDefault="001C04FB" w:rsidP="001C04FB">
            <w:pPr>
              <w:jc w:val="right"/>
              <w:rPr>
                <w:color w:val="000000"/>
              </w:rPr>
            </w:pPr>
            <w:r w:rsidRPr="007260D7">
              <w:rPr>
                <w:color w:val="000000"/>
              </w:rPr>
              <w:t xml:space="preserve">                          </w:t>
            </w:r>
          </w:p>
          <w:p w:rsidR="001C04FB" w:rsidRPr="007260D7" w:rsidRDefault="007260D7" w:rsidP="007260D7">
            <w:pPr>
              <w:jc w:val="right"/>
              <w:rPr>
                <w:color w:val="000000"/>
              </w:rPr>
            </w:pPr>
            <w:r w:rsidRPr="007260D7">
              <w:rPr>
                <w:color w:val="000000"/>
              </w:rPr>
              <w:t xml:space="preserve">         3.365.085.835 </w:t>
            </w:r>
          </w:p>
        </w:tc>
      </w:tr>
      <w:tr w:rsidR="001C04FB" w:rsidTr="00DC6B20">
        <w:trPr>
          <w:trHeight w:val="540"/>
        </w:trPr>
        <w:tc>
          <w:tcPr>
            <w:tcW w:w="1016" w:type="dxa"/>
            <w:vAlign w:val="center"/>
          </w:tcPr>
          <w:p w:rsidR="001C04FB" w:rsidRPr="00491F3A" w:rsidRDefault="001C04FB" w:rsidP="00143543">
            <w:pPr>
              <w:widowControl w:val="0"/>
              <w:suppressAutoHyphens/>
              <w:jc w:val="center"/>
              <w:rPr>
                <w:sz w:val="26"/>
                <w:lang w:val="fr-FR"/>
              </w:rPr>
            </w:pPr>
            <w:r>
              <w:rPr>
                <w:sz w:val="26"/>
                <w:lang w:val="fr-FR"/>
              </w:rPr>
              <w:t>2</w:t>
            </w:r>
          </w:p>
        </w:tc>
        <w:tc>
          <w:tcPr>
            <w:tcW w:w="5207" w:type="dxa"/>
            <w:vAlign w:val="center"/>
          </w:tcPr>
          <w:p w:rsidR="001C04FB" w:rsidRPr="00491F3A" w:rsidRDefault="001C04FB" w:rsidP="00143543">
            <w:pPr>
              <w:widowControl w:val="0"/>
              <w:suppressAutoHyphens/>
              <w:rPr>
                <w:sz w:val="26"/>
                <w:lang w:val="fr-FR"/>
              </w:rPr>
            </w:pPr>
            <w:r w:rsidRPr="00491F3A">
              <w:rPr>
                <w:sz w:val="26"/>
                <w:lang w:val="fr-FR"/>
              </w:rPr>
              <w:t>Trích Quỹ đầu tư phát triển</w:t>
            </w:r>
          </w:p>
        </w:tc>
        <w:tc>
          <w:tcPr>
            <w:tcW w:w="973" w:type="dxa"/>
            <w:vAlign w:val="bottom"/>
          </w:tcPr>
          <w:p w:rsidR="001C04FB" w:rsidRPr="001C04FB" w:rsidRDefault="001C04FB" w:rsidP="001C04FB">
            <w:pPr>
              <w:jc w:val="right"/>
              <w:rPr>
                <w:color w:val="000000"/>
              </w:rPr>
            </w:pPr>
            <w:r w:rsidRPr="001C04FB">
              <w:rPr>
                <w:color w:val="000000"/>
                <w:sz w:val="22"/>
                <w:szCs w:val="22"/>
              </w:rPr>
              <w:t>5</w:t>
            </w:r>
          </w:p>
        </w:tc>
        <w:tc>
          <w:tcPr>
            <w:tcW w:w="2330" w:type="dxa"/>
            <w:vAlign w:val="bottom"/>
          </w:tcPr>
          <w:p w:rsidR="001C04FB" w:rsidRPr="007260D7" w:rsidRDefault="001C04FB" w:rsidP="00262A9F">
            <w:pPr>
              <w:jc w:val="right"/>
              <w:rPr>
                <w:color w:val="000000"/>
              </w:rPr>
            </w:pPr>
            <w:r w:rsidRPr="007260D7">
              <w:rPr>
                <w:color w:val="000000"/>
              </w:rPr>
              <w:t xml:space="preserve">                          2.000.793.</w:t>
            </w:r>
            <w:r w:rsidR="00262A9F">
              <w:rPr>
                <w:color w:val="000000"/>
              </w:rPr>
              <w:t>550</w:t>
            </w:r>
            <w:r w:rsidRPr="007260D7">
              <w:rPr>
                <w:color w:val="000000"/>
              </w:rPr>
              <w:t xml:space="preserve"> </w:t>
            </w:r>
          </w:p>
        </w:tc>
      </w:tr>
      <w:tr w:rsidR="001C04FB" w:rsidTr="00DC6B20">
        <w:trPr>
          <w:trHeight w:val="540"/>
        </w:trPr>
        <w:tc>
          <w:tcPr>
            <w:tcW w:w="1016" w:type="dxa"/>
            <w:vAlign w:val="center"/>
          </w:tcPr>
          <w:p w:rsidR="001C04FB" w:rsidRPr="00491F3A" w:rsidRDefault="001C04FB" w:rsidP="00143543">
            <w:pPr>
              <w:widowControl w:val="0"/>
              <w:suppressAutoHyphens/>
              <w:jc w:val="center"/>
              <w:rPr>
                <w:sz w:val="26"/>
                <w:lang w:val="fr-FR"/>
              </w:rPr>
            </w:pPr>
            <w:r>
              <w:rPr>
                <w:sz w:val="26"/>
                <w:lang w:val="fr-FR"/>
              </w:rPr>
              <w:t>3</w:t>
            </w:r>
          </w:p>
        </w:tc>
        <w:tc>
          <w:tcPr>
            <w:tcW w:w="5207" w:type="dxa"/>
            <w:vAlign w:val="center"/>
          </w:tcPr>
          <w:p w:rsidR="001C04FB" w:rsidRPr="00491F3A" w:rsidRDefault="001C04FB" w:rsidP="007260D7">
            <w:pPr>
              <w:widowControl w:val="0"/>
              <w:suppressAutoHyphens/>
              <w:rPr>
                <w:sz w:val="26"/>
                <w:lang w:val="fr-FR"/>
              </w:rPr>
            </w:pPr>
            <w:r>
              <w:rPr>
                <w:sz w:val="26"/>
                <w:lang w:val="fr-FR"/>
              </w:rPr>
              <w:t xml:space="preserve">Chia cổ tức tiền mặt </w:t>
            </w:r>
            <w:r w:rsidR="007260D7">
              <w:rPr>
                <w:sz w:val="26"/>
                <w:lang w:val="fr-FR"/>
              </w:rPr>
              <w:t>7</w:t>
            </w:r>
            <w:r>
              <w:rPr>
                <w:sz w:val="26"/>
                <w:lang w:val="fr-FR"/>
              </w:rPr>
              <w:t>%/cổ phần</w:t>
            </w:r>
          </w:p>
        </w:tc>
        <w:tc>
          <w:tcPr>
            <w:tcW w:w="973" w:type="dxa"/>
            <w:vAlign w:val="bottom"/>
          </w:tcPr>
          <w:p w:rsidR="001C04FB" w:rsidRPr="001C04FB" w:rsidRDefault="00622853" w:rsidP="001C04FB">
            <w:pPr>
              <w:jc w:val="right"/>
              <w:rPr>
                <w:color w:val="000000"/>
              </w:rPr>
            </w:pPr>
            <w:r>
              <w:rPr>
                <w:color w:val="000000"/>
                <w:sz w:val="22"/>
                <w:szCs w:val="22"/>
              </w:rPr>
              <w:t>86,6</w:t>
            </w:r>
          </w:p>
        </w:tc>
        <w:tc>
          <w:tcPr>
            <w:tcW w:w="2330" w:type="dxa"/>
            <w:vAlign w:val="bottom"/>
          </w:tcPr>
          <w:p w:rsidR="007260D7" w:rsidRPr="007260D7" w:rsidRDefault="001C04FB" w:rsidP="001C04FB">
            <w:pPr>
              <w:jc w:val="right"/>
              <w:rPr>
                <w:color w:val="000000"/>
              </w:rPr>
            </w:pPr>
            <w:r w:rsidRPr="007260D7">
              <w:rPr>
                <w:color w:val="000000"/>
              </w:rPr>
              <w:t xml:space="preserve">                       </w:t>
            </w:r>
          </w:p>
          <w:p w:rsidR="001C04FB" w:rsidRPr="007260D7" w:rsidRDefault="007260D7" w:rsidP="007260D7">
            <w:pPr>
              <w:jc w:val="right"/>
              <w:rPr>
                <w:color w:val="000000"/>
              </w:rPr>
            </w:pPr>
            <w:r w:rsidRPr="007260D7">
              <w:rPr>
                <w:color w:val="000000"/>
              </w:rPr>
              <w:t xml:space="preserve">      34.649.991.600 </w:t>
            </w:r>
          </w:p>
        </w:tc>
      </w:tr>
    </w:tbl>
    <w:p w:rsidR="00D64266" w:rsidRPr="00D64266" w:rsidRDefault="00D64266" w:rsidP="00D64266">
      <w:pPr>
        <w:spacing w:before="120" w:after="120" w:line="312" w:lineRule="auto"/>
        <w:jc w:val="both"/>
        <w:rPr>
          <w:i/>
          <w:sz w:val="26"/>
          <w:szCs w:val="26"/>
          <w:lang w:val="fr-FR"/>
        </w:rPr>
      </w:pPr>
      <w:r w:rsidRPr="00D64266">
        <w:rPr>
          <w:i/>
          <w:sz w:val="26"/>
          <w:szCs w:val="26"/>
          <w:lang w:val="fr-FR"/>
        </w:rPr>
        <w:t>Ghi chú : (*) Theo chỉ tiêu Lợi nhuận sau thuế của cổ đô</w:t>
      </w:r>
      <w:r w:rsidR="00942A7F">
        <w:rPr>
          <w:i/>
          <w:sz w:val="26"/>
          <w:szCs w:val="26"/>
          <w:lang w:val="fr-FR"/>
        </w:rPr>
        <w:t>ng C</w:t>
      </w:r>
      <w:r w:rsidRPr="00D64266">
        <w:rPr>
          <w:i/>
          <w:sz w:val="26"/>
          <w:szCs w:val="26"/>
          <w:lang w:val="fr-FR"/>
        </w:rPr>
        <w:t>ông ty mẹ trên Báo cáo tài chính năm 2015 hợp nhất</w:t>
      </w:r>
      <w:r w:rsidR="00942A7F">
        <w:rPr>
          <w:i/>
          <w:sz w:val="26"/>
          <w:szCs w:val="26"/>
          <w:lang w:val="fr-FR"/>
        </w:rPr>
        <w:t>.</w:t>
      </w:r>
    </w:p>
    <w:p w:rsidR="003B328A" w:rsidRPr="003F542C" w:rsidRDefault="003B328A" w:rsidP="003B328A">
      <w:pPr>
        <w:pStyle w:val="ListParagraph"/>
        <w:numPr>
          <w:ilvl w:val="1"/>
          <w:numId w:val="3"/>
        </w:numPr>
        <w:spacing w:before="120" w:after="120" w:line="312" w:lineRule="auto"/>
        <w:jc w:val="both"/>
        <w:rPr>
          <w:b/>
          <w:sz w:val="26"/>
          <w:szCs w:val="26"/>
          <w:lang w:val="fr-FR"/>
        </w:rPr>
      </w:pPr>
      <w:r w:rsidRPr="003F542C">
        <w:rPr>
          <w:b/>
          <w:sz w:val="26"/>
          <w:szCs w:val="26"/>
          <w:lang w:val="fr-FR"/>
        </w:rPr>
        <w:t>Phương án phân chia cổ tức</w:t>
      </w:r>
      <w:r>
        <w:rPr>
          <w:b/>
          <w:sz w:val="26"/>
          <w:szCs w:val="26"/>
          <w:lang w:val="fr-FR"/>
        </w:rPr>
        <w:t xml:space="preserve"> 201</w:t>
      </w:r>
      <w:r w:rsidR="00D16EF0">
        <w:rPr>
          <w:b/>
          <w:sz w:val="26"/>
          <w:szCs w:val="26"/>
          <w:lang w:val="fr-FR"/>
        </w:rPr>
        <w:t>5</w:t>
      </w:r>
      <w:r>
        <w:rPr>
          <w:b/>
          <w:sz w:val="26"/>
          <w:szCs w:val="26"/>
          <w:lang w:val="fr-FR"/>
        </w:rPr>
        <w:t>:</w:t>
      </w:r>
    </w:p>
    <w:p w:rsidR="003B328A" w:rsidRDefault="003B328A" w:rsidP="003B328A">
      <w:pPr>
        <w:pStyle w:val="ListParagraph"/>
        <w:numPr>
          <w:ilvl w:val="0"/>
          <w:numId w:val="9"/>
        </w:numPr>
        <w:spacing w:before="120" w:after="120" w:line="312" w:lineRule="auto"/>
        <w:jc w:val="both"/>
        <w:rPr>
          <w:sz w:val="26"/>
          <w:szCs w:val="26"/>
          <w:lang w:val="fr-FR"/>
        </w:rPr>
      </w:pPr>
      <w:r w:rsidRPr="00B5626D">
        <w:rPr>
          <w:sz w:val="26"/>
          <w:szCs w:val="26"/>
        </w:rPr>
        <w:t>Thời gian chốt danh sách cổ đông hưởng cổ tứ</w:t>
      </w:r>
      <w:r>
        <w:rPr>
          <w:sz w:val="26"/>
          <w:szCs w:val="26"/>
        </w:rPr>
        <w:t>c: d</w:t>
      </w:r>
      <w:r w:rsidRPr="00B5626D">
        <w:rPr>
          <w:sz w:val="26"/>
          <w:szCs w:val="26"/>
        </w:rPr>
        <w:t>o Hội đồng quản trị quyết định sau khi</w:t>
      </w:r>
      <w:r>
        <w:rPr>
          <w:sz w:val="26"/>
          <w:szCs w:val="26"/>
        </w:rPr>
        <w:t xml:space="preserve"> có Nghị quyết của </w:t>
      </w:r>
      <w:r>
        <w:rPr>
          <w:sz w:val="26"/>
          <w:szCs w:val="26"/>
          <w:lang w:val="fr-FR"/>
        </w:rPr>
        <w:t xml:space="preserve"> Đại hội đồng cổ đông</w:t>
      </w:r>
    </w:p>
    <w:p w:rsidR="003B328A" w:rsidRPr="007B6BFF" w:rsidRDefault="003B328A" w:rsidP="003B328A">
      <w:pPr>
        <w:pStyle w:val="ListParagraph"/>
        <w:numPr>
          <w:ilvl w:val="0"/>
          <w:numId w:val="9"/>
        </w:numPr>
        <w:spacing w:before="120" w:after="120" w:line="312" w:lineRule="auto"/>
        <w:jc w:val="both"/>
        <w:rPr>
          <w:sz w:val="26"/>
          <w:szCs w:val="26"/>
          <w:lang w:val="fr-FR"/>
        </w:rPr>
      </w:pPr>
      <w:r w:rsidRPr="007B6BFF">
        <w:rPr>
          <w:sz w:val="26"/>
          <w:szCs w:val="26"/>
          <w:lang w:val="fr-FR"/>
        </w:rPr>
        <w:t xml:space="preserve">Địa điểm nhận cổ tức: </w:t>
      </w:r>
    </w:p>
    <w:p w:rsidR="003B328A" w:rsidRDefault="003B328A" w:rsidP="003B328A">
      <w:pPr>
        <w:pStyle w:val="ListParagraph"/>
        <w:numPr>
          <w:ilvl w:val="2"/>
          <w:numId w:val="9"/>
        </w:numPr>
        <w:spacing w:line="360" w:lineRule="auto"/>
        <w:ind w:left="1418" w:hanging="425"/>
        <w:jc w:val="both"/>
        <w:rPr>
          <w:sz w:val="26"/>
          <w:szCs w:val="26"/>
          <w:lang w:val="fr-FR"/>
        </w:rPr>
      </w:pPr>
      <w:r>
        <w:rPr>
          <w:sz w:val="26"/>
          <w:szCs w:val="26"/>
          <w:lang w:val="fr-FR"/>
        </w:rPr>
        <w:t xml:space="preserve"> Với các chứng khoán đã lưu ký, cổ đông làm thủ tục nhận cổ tức tại thành viên lưu ký nơi mở tài khoản chứng khoán.</w:t>
      </w:r>
    </w:p>
    <w:p w:rsidR="003B328A" w:rsidRPr="00857161" w:rsidRDefault="003B328A" w:rsidP="003B328A">
      <w:pPr>
        <w:pStyle w:val="ListParagraph"/>
        <w:numPr>
          <w:ilvl w:val="2"/>
          <w:numId w:val="9"/>
        </w:numPr>
        <w:spacing w:line="360" w:lineRule="auto"/>
        <w:ind w:left="1418" w:hanging="425"/>
        <w:jc w:val="both"/>
        <w:rPr>
          <w:spacing w:val="-12"/>
          <w:kern w:val="16"/>
          <w:sz w:val="26"/>
          <w:szCs w:val="26"/>
          <w:lang w:val="fr-FR"/>
        </w:rPr>
      </w:pPr>
      <w:r>
        <w:rPr>
          <w:sz w:val="26"/>
          <w:szCs w:val="26"/>
          <w:lang w:val="fr-FR"/>
        </w:rPr>
        <w:t xml:space="preserve"> </w:t>
      </w:r>
      <w:r w:rsidRPr="00857161">
        <w:rPr>
          <w:sz w:val="26"/>
          <w:szCs w:val="26"/>
          <w:lang w:val="fr-FR"/>
        </w:rPr>
        <w:t>Với các chứng khoán chưa lưu ký, cổ đông làm thủ tục nhận cổ tức tại: trụ sở chính - Lô CN 11 + CN 12, Cụm công nghiệp An Đồng, Nam Sách, Hải Dương</w:t>
      </w:r>
      <w:r w:rsidRPr="00857161">
        <w:rPr>
          <w:spacing w:val="-12"/>
          <w:kern w:val="16"/>
          <w:sz w:val="26"/>
          <w:szCs w:val="26"/>
          <w:lang w:val="fr-FR"/>
        </w:rPr>
        <w:t>.</w:t>
      </w:r>
    </w:p>
    <w:p w:rsidR="003B328A" w:rsidRDefault="003B328A" w:rsidP="003B328A">
      <w:pPr>
        <w:pStyle w:val="ListParagraph"/>
        <w:numPr>
          <w:ilvl w:val="0"/>
          <w:numId w:val="9"/>
        </w:numPr>
        <w:spacing w:before="120" w:after="120" w:line="312" w:lineRule="auto"/>
        <w:jc w:val="both"/>
        <w:rPr>
          <w:sz w:val="26"/>
          <w:szCs w:val="26"/>
          <w:lang w:val="fr-FR"/>
        </w:rPr>
      </w:pPr>
      <w:r w:rsidRPr="00C2566F">
        <w:rPr>
          <w:sz w:val="26"/>
          <w:szCs w:val="26"/>
          <w:lang w:val="fr-FR"/>
        </w:rPr>
        <w:t>Thời gian trả cổ tức dự kiến: tháng</w:t>
      </w:r>
      <w:r>
        <w:rPr>
          <w:sz w:val="26"/>
          <w:szCs w:val="26"/>
          <w:lang w:val="fr-FR"/>
        </w:rPr>
        <w:t xml:space="preserve"> </w:t>
      </w:r>
      <w:r w:rsidR="00622853">
        <w:rPr>
          <w:sz w:val="26"/>
          <w:szCs w:val="26"/>
          <w:lang w:val="fr-FR"/>
        </w:rPr>
        <w:t>4</w:t>
      </w:r>
      <w:r w:rsidRPr="00C2566F">
        <w:rPr>
          <w:sz w:val="26"/>
          <w:szCs w:val="26"/>
          <w:lang w:val="fr-FR"/>
        </w:rPr>
        <w:t xml:space="preserve"> năm 201</w:t>
      </w:r>
      <w:r w:rsidR="00D16EF0">
        <w:rPr>
          <w:sz w:val="26"/>
          <w:szCs w:val="26"/>
          <w:lang w:val="fr-FR"/>
        </w:rPr>
        <w:t>6</w:t>
      </w:r>
    </w:p>
    <w:p w:rsidR="003B328A" w:rsidRDefault="003B328A" w:rsidP="003B328A">
      <w:pPr>
        <w:pStyle w:val="ListParagraph"/>
        <w:numPr>
          <w:ilvl w:val="0"/>
          <w:numId w:val="9"/>
        </w:numPr>
        <w:spacing w:before="120" w:after="120" w:line="312" w:lineRule="auto"/>
        <w:jc w:val="both"/>
        <w:rPr>
          <w:sz w:val="26"/>
          <w:szCs w:val="26"/>
          <w:lang w:val="fr-FR"/>
        </w:rPr>
      </w:pPr>
      <w:r w:rsidRPr="00C2566F">
        <w:rPr>
          <w:sz w:val="26"/>
          <w:szCs w:val="26"/>
          <w:lang w:val="fr-FR"/>
        </w:rPr>
        <w:t>Hình thức trả cổ tức: trả bằng tiền mặt Việt Nam Đồng</w:t>
      </w:r>
    </w:p>
    <w:p w:rsidR="003B328A" w:rsidRPr="00C2566F" w:rsidRDefault="003B328A" w:rsidP="003B328A">
      <w:pPr>
        <w:pStyle w:val="ListParagraph"/>
        <w:numPr>
          <w:ilvl w:val="0"/>
          <w:numId w:val="9"/>
        </w:numPr>
        <w:spacing w:before="120" w:after="120" w:line="312" w:lineRule="auto"/>
        <w:jc w:val="both"/>
        <w:rPr>
          <w:sz w:val="26"/>
          <w:szCs w:val="26"/>
          <w:lang w:val="fr-FR"/>
        </w:rPr>
      </w:pPr>
      <w:r>
        <w:rPr>
          <w:sz w:val="26"/>
          <w:szCs w:val="26"/>
          <w:lang w:val="fr-FR"/>
        </w:rPr>
        <w:t xml:space="preserve">Tỷ lệ chi trả cổ tức: </w:t>
      </w:r>
      <w:r w:rsidR="00622853">
        <w:rPr>
          <w:sz w:val="26"/>
          <w:szCs w:val="26"/>
          <w:lang w:val="fr-FR"/>
        </w:rPr>
        <w:t>7</w:t>
      </w:r>
      <w:r>
        <w:rPr>
          <w:sz w:val="26"/>
          <w:szCs w:val="26"/>
          <w:lang w:val="fr-FR"/>
        </w:rPr>
        <w:t>%/cổ</w:t>
      </w:r>
      <w:r w:rsidR="00997615">
        <w:rPr>
          <w:sz w:val="26"/>
          <w:szCs w:val="26"/>
          <w:lang w:val="fr-FR"/>
        </w:rPr>
        <w:t xml:space="preserve"> phần (mỗi cổ phần nhận được </w:t>
      </w:r>
      <w:r w:rsidR="00622853">
        <w:rPr>
          <w:sz w:val="26"/>
          <w:szCs w:val="26"/>
          <w:lang w:val="fr-FR"/>
        </w:rPr>
        <w:t>7</w:t>
      </w:r>
      <w:r>
        <w:rPr>
          <w:sz w:val="26"/>
          <w:szCs w:val="26"/>
          <w:lang w:val="fr-FR"/>
        </w:rPr>
        <w:t>00 đồng)</w:t>
      </w:r>
    </w:p>
    <w:p w:rsidR="003B328A" w:rsidRPr="003F542C" w:rsidRDefault="003B328A" w:rsidP="00771886">
      <w:pPr>
        <w:pStyle w:val="ListParagraph"/>
        <w:numPr>
          <w:ilvl w:val="0"/>
          <w:numId w:val="9"/>
        </w:numPr>
        <w:spacing w:line="360" w:lineRule="auto"/>
        <w:jc w:val="both"/>
        <w:rPr>
          <w:sz w:val="26"/>
          <w:szCs w:val="26"/>
        </w:rPr>
      </w:pPr>
      <w:r w:rsidRPr="00B5626D">
        <w:rPr>
          <w:sz w:val="26"/>
          <w:szCs w:val="26"/>
          <w:lang w:val="fr-FR"/>
        </w:rPr>
        <w:t>Tổng số tiền chi trả cổ tức: bằng</w:t>
      </w:r>
      <w:r>
        <w:rPr>
          <w:sz w:val="26"/>
          <w:szCs w:val="26"/>
          <w:lang w:val="fr-FR"/>
        </w:rPr>
        <w:t xml:space="preserve"> </w:t>
      </w:r>
      <w:r w:rsidR="00622853">
        <w:t>86,6</w:t>
      </w:r>
      <w:bookmarkStart w:id="0" w:name="_GoBack"/>
      <w:bookmarkEnd w:id="0"/>
      <w:r w:rsidR="00771886">
        <w:rPr>
          <w:sz w:val="26"/>
          <w:szCs w:val="26"/>
          <w:lang w:val="fr-FR"/>
        </w:rPr>
        <w:t xml:space="preserve">% </w:t>
      </w:r>
      <w:r>
        <w:rPr>
          <w:sz w:val="26"/>
          <w:szCs w:val="26"/>
          <w:lang w:val="fr-FR"/>
        </w:rPr>
        <w:t>lợi nhuận  sau thuế năm 201</w:t>
      </w:r>
      <w:r w:rsidR="00D16EF0">
        <w:rPr>
          <w:sz w:val="26"/>
          <w:szCs w:val="26"/>
          <w:lang w:val="fr-FR"/>
        </w:rPr>
        <w:t>5</w:t>
      </w:r>
      <w:r>
        <w:rPr>
          <w:sz w:val="26"/>
          <w:szCs w:val="26"/>
          <w:lang w:val="fr-FR"/>
        </w:rPr>
        <w:t xml:space="preserve"> của Công ty</w:t>
      </w:r>
    </w:p>
    <w:p w:rsidR="003B328A" w:rsidRPr="00B5626D" w:rsidRDefault="003B328A" w:rsidP="003B328A">
      <w:pPr>
        <w:pStyle w:val="ListParagraph"/>
        <w:spacing w:line="360" w:lineRule="auto"/>
        <w:jc w:val="both"/>
        <w:rPr>
          <w:sz w:val="26"/>
          <w:szCs w:val="26"/>
        </w:rPr>
      </w:pPr>
      <w:r w:rsidRPr="003F542C">
        <w:rPr>
          <w:b/>
          <w:i/>
          <w:sz w:val="26"/>
          <w:szCs w:val="26"/>
          <w:u w:val="single"/>
          <w:lang w:val="fr-FR"/>
        </w:rPr>
        <w:lastRenderedPageBreak/>
        <w:t>*Ghi chú:</w:t>
      </w:r>
      <w:r>
        <w:rPr>
          <w:sz w:val="26"/>
          <w:szCs w:val="26"/>
          <w:lang w:val="fr-FR"/>
        </w:rPr>
        <w:t xml:space="preserve"> Công ty sẽ thực hiện khấu trừ thuế TNCN (nếu có) trước khi trả cổ tức cho cổ đông .</w:t>
      </w:r>
    </w:p>
    <w:p w:rsidR="004829C2" w:rsidRDefault="004829C2" w:rsidP="00411D07">
      <w:pPr>
        <w:pStyle w:val="ListParagraph"/>
        <w:numPr>
          <w:ilvl w:val="0"/>
          <w:numId w:val="3"/>
        </w:numPr>
        <w:tabs>
          <w:tab w:val="clear" w:pos="1080"/>
          <w:tab w:val="num" w:pos="720"/>
        </w:tabs>
        <w:spacing w:line="360" w:lineRule="auto"/>
        <w:ind w:hanging="1080"/>
        <w:jc w:val="both"/>
        <w:rPr>
          <w:b/>
          <w:sz w:val="26"/>
          <w:szCs w:val="26"/>
          <w:lang w:val="fr-FR"/>
        </w:rPr>
      </w:pPr>
      <w:r w:rsidRPr="001E7BA8">
        <w:rPr>
          <w:b/>
          <w:sz w:val="26"/>
          <w:szCs w:val="26"/>
          <w:lang w:val="fr-FR"/>
        </w:rPr>
        <w:t xml:space="preserve">Thông qua mức thù lao của Hội đồng quản </w:t>
      </w:r>
      <w:r w:rsidR="004C6EEA">
        <w:rPr>
          <w:b/>
          <w:sz w:val="26"/>
          <w:szCs w:val="26"/>
          <w:lang w:val="fr-FR"/>
        </w:rPr>
        <w:t>trị, của Ban kiểm soát năm 201</w:t>
      </w:r>
      <w:r w:rsidR="00D16EF0">
        <w:rPr>
          <w:b/>
          <w:sz w:val="26"/>
          <w:szCs w:val="26"/>
          <w:lang w:val="fr-FR"/>
        </w:rPr>
        <w:t>6</w:t>
      </w:r>
    </w:p>
    <w:p w:rsidR="00CC007E" w:rsidRPr="00CC007E" w:rsidRDefault="00CC007E" w:rsidP="00CC007E">
      <w:pPr>
        <w:spacing w:before="120" w:after="120" w:line="312" w:lineRule="auto"/>
        <w:ind w:firstLine="720"/>
        <w:jc w:val="both"/>
        <w:rPr>
          <w:bCs/>
          <w:sz w:val="26"/>
          <w:szCs w:val="26"/>
        </w:rPr>
      </w:pPr>
      <w:r w:rsidRPr="00CC007E">
        <w:rPr>
          <w:bCs/>
          <w:sz w:val="26"/>
          <w:szCs w:val="26"/>
        </w:rPr>
        <w:t>Hội đồng quản</w:t>
      </w:r>
      <w:r w:rsidR="004C6EEA">
        <w:rPr>
          <w:bCs/>
          <w:sz w:val="26"/>
          <w:szCs w:val="26"/>
        </w:rPr>
        <w:t xml:space="preserve"> trị đề xuất mức thù lao năm 201</w:t>
      </w:r>
      <w:r w:rsidR="000137D6">
        <w:rPr>
          <w:bCs/>
          <w:sz w:val="26"/>
          <w:szCs w:val="26"/>
        </w:rPr>
        <w:t>6</w:t>
      </w:r>
      <w:r w:rsidRPr="00CC007E">
        <w:rPr>
          <w:bCs/>
          <w:sz w:val="26"/>
          <w:szCs w:val="26"/>
        </w:rPr>
        <w:t xml:space="preserve"> cho các thành viên Hội đồng quản trị và Ban kiểm soát cụ thể như sau: </w:t>
      </w:r>
    </w:p>
    <w:tbl>
      <w:tblPr>
        <w:tblStyle w:val="TableGrid"/>
        <w:tblpPr w:leftFromText="180" w:rightFromText="180" w:vertAnchor="text" w:horzAnchor="margin" w:tblpXSpec="center" w:tblpY="101"/>
        <w:tblW w:w="9493" w:type="dxa"/>
        <w:tblLook w:val="01E0" w:firstRow="1" w:lastRow="1" w:firstColumn="1" w:lastColumn="1" w:noHBand="0" w:noVBand="0"/>
      </w:tblPr>
      <w:tblGrid>
        <w:gridCol w:w="2242"/>
        <w:gridCol w:w="3250"/>
        <w:gridCol w:w="2010"/>
        <w:gridCol w:w="1991"/>
      </w:tblGrid>
      <w:tr w:rsidR="004829C2" w:rsidRPr="001E7BA8" w:rsidTr="00C76E6E">
        <w:trPr>
          <w:trHeight w:val="845"/>
        </w:trPr>
        <w:tc>
          <w:tcPr>
            <w:tcW w:w="5492" w:type="dxa"/>
            <w:gridSpan w:val="2"/>
            <w:vAlign w:val="center"/>
          </w:tcPr>
          <w:p w:rsidR="004829C2" w:rsidRPr="001E7BA8" w:rsidRDefault="004829C2" w:rsidP="004F0CCA">
            <w:pPr>
              <w:spacing w:line="312" w:lineRule="auto"/>
              <w:jc w:val="center"/>
              <w:rPr>
                <w:b/>
                <w:sz w:val="26"/>
                <w:szCs w:val="26"/>
                <w:lang w:val="fr-FR"/>
              </w:rPr>
            </w:pPr>
            <w:r w:rsidRPr="001E7BA8">
              <w:rPr>
                <w:b/>
                <w:sz w:val="26"/>
                <w:szCs w:val="26"/>
                <w:lang w:val="fr-FR"/>
              </w:rPr>
              <w:t>Tiêu chí</w:t>
            </w:r>
          </w:p>
        </w:tc>
        <w:tc>
          <w:tcPr>
            <w:tcW w:w="2010" w:type="dxa"/>
            <w:vAlign w:val="center"/>
          </w:tcPr>
          <w:p w:rsidR="004829C2" w:rsidRDefault="004829C2" w:rsidP="004F0CCA">
            <w:pPr>
              <w:spacing w:line="312" w:lineRule="auto"/>
              <w:jc w:val="center"/>
              <w:rPr>
                <w:b/>
                <w:sz w:val="26"/>
                <w:szCs w:val="26"/>
                <w:lang w:val="fr-FR"/>
              </w:rPr>
            </w:pPr>
            <w:r w:rsidRPr="001E7BA8">
              <w:rPr>
                <w:b/>
                <w:sz w:val="26"/>
                <w:szCs w:val="26"/>
                <w:lang w:val="fr-FR"/>
              </w:rPr>
              <w:t xml:space="preserve">Mức đề nghị </w:t>
            </w:r>
          </w:p>
          <w:p w:rsidR="00FA0374" w:rsidRDefault="00D16EF0" w:rsidP="004F0CCA">
            <w:pPr>
              <w:spacing w:line="312" w:lineRule="auto"/>
              <w:jc w:val="center"/>
              <w:rPr>
                <w:b/>
                <w:sz w:val="26"/>
                <w:szCs w:val="26"/>
                <w:lang w:val="fr-FR"/>
              </w:rPr>
            </w:pPr>
            <w:r>
              <w:rPr>
                <w:b/>
                <w:sz w:val="26"/>
                <w:szCs w:val="26"/>
                <w:lang w:val="fr-FR"/>
              </w:rPr>
              <w:t>năm 2016</w:t>
            </w:r>
          </w:p>
          <w:p w:rsidR="004829C2" w:rsidRPr="001E7BA8" w:rsidRDefault="00783EF3" w:rsidP="004F0CCA">
            <w:pPr>
              <w:spacing w:line="312" w:lineRule="auto"/>
              <w:jc w:val="center"/>
              <w:rPr>
                <w:b/>
                <w:sz w:val="26"/>
                <w:szCs w:val="26"/>
                <w:lang w:val="fr-FR"/>
              </w:rPr>
            </w:pPr>
            <w:r>
              <w:rPr>
                <w:b/>
                <w:sz w:val="26"/>
                <w:szCs w:val="26"/>
                <w:lang w:val="fr-FR"/>
              </w:rPr>
              <w:t>(đồng)</w:t>
            </w:r>
          </w:p>
        </w:tc>
        <w:tc>
          <w:tcPr>
            <w:tcW w:w="1991" w:type="dxa"/>
            <w:vAlign w:val="center"/>
          </w:tcPr>
          <w:p w:rsidR="004829C2" w:rsidRDefault="004829C2" w:rsidP="004F0CCA">
            <w:pPr>
              <w:spacing w:line="312" w:lineRule="auto"/>
              <w:jc w:val="center"/>
              <w:rPr>
                <w:b/>
                <w:sz w:val="26"/>
                <w:szCs w:val="26"/>
                <w:lang w:val="fr-FR"/>
              </w:rPr>
            </w:pPr>
            <w:r w:rsidRPr="001E7BA8">
              <w:rPr>
                <w:b/>
                <w:sz w:val="26"/>
                <w:szCs w:val="26"/>
                <w:lang w:val="fr-FR"/>
              </w:rPr>
              <w:t xml:space="preserve">Mức thù lao </w:t>
            </w:r>
          </w:p>
          <w:p w:rsidR="00D16EF0" w:rsidRDefault="004829C2" w:rsidP="009220BE">
            <w:pPr>
              <w:spacing w:line="312" w:lineRule="auto"/>
              <w:jc w:val="center"/>
              <w:rPr>
                <w:b/>
                <w:sz w:val="26"/>
                <w:szCs w:val="26"/>
                <w:lang w:val="fr-FR"/>
              </w:rPr>
            </w:pPr>
            <w:r w:rsidRPr="001E7BA8">
              <w:rPr>
                <w:b/>
                <w:sz w:val="26"/>
                <w:szCs w:val="26"/>
                <w:lang w:val="fr-FR"/>
              </w:rPr>
              <w:t>năm 20</w:t>
            </w:r>
            <w:r>
              <w:rPr>
                <w:b/>
                <w:sz w:val="26"/>
                <w:szCs w:val="26"/>
                <w:lang w:val="fr-FR"/>
              </w:rPr>
              <w:t>1</w:t>
            </w:r>
            <w:r w:rsidR="00D16EF0">
              <w:rPr>
                <w:b/>
                <w:sz w:val="26"/>
                <w:szCs w:val="26"/>
                <w:lang w:val="fr-FR"/>
              </w:rPr>
              <w:t>5</w:t>
            </w:r>
          </w:p>
          <w:p w:rsidR="004829C2" w:rsidRPr="001E7BA8" w:rsidRDefault="00FA0374" w:rsidP="009220BE">
            <w:pPr>
              <w:spacing w:line="312" w:lineRule="auto"/>
              <w:jc w:val="center"/>
              <w:rPr>
                <w:b/>
                <w:sz w:val="26"/>
                <w:szCs w:val="26"/>
                <w:lang w:val="fr-FR"/>
              </w:rPr>
            </w:pPr>
            <w:r>
              <w:rPr>
                <w:b/>
                <w:sz w:val="26"/>
                <w:szCs w:val="26"/>
                <w:lang w:val="fr-FR"/>
              </w:rPr>
              <w:t>(đồng)</w:t>
            </w:r>
          </w:p>
        </w:tc>
      </w:tr>
      <w:tr w:rsidR="004D2690" w:rsidRPr="001E7BA8" w:rsidTr="00C76E6E">
        <w:trPr>
          <w:trHeight w:val="762"/>
        </w:trPr>
        <w:tc>
          <w:tcPr>
            <w:tcW w:w="2242" w:type="dxa"/>
            <w:vMerge w:val="restart"/>
            <w:vAlign w:val="center"/>
          </w:tcPr>
          <w:p w:rsidR="004D2690" w:rsidRDefault="004D2690" w:rsidP="004D2690">
            <w:pPr>
              <w:spacing w:before="120" w:after="120" w:line="312" w:lineRule="auto"/>
              <w:jc w:val="center"/>
              <w:rPr>
                <w:sz w:val="26"/>
                <w:szCs w:val="26"/>
                <w:lang w:val="fr-FR"/>
              </w:rPr>
            </w:pPr>
            <w:r>
              <w:rPr>
                <w:sz w:val="26"/>
                <w:szCs w:val="26"/>
                <w:lang w:val="fr-FR"/>
              </w:rPr>
              <w:t xml:space="preserve">Mức thù lao cho Hội đồng quản </w:t>
            </w:r>
            <w:r w:rsidRPr="001E7BA8">
              <w:rPr>
                <w:sz w:val="26"/>
                <w:szCs w:val="26"/>
                <w:lang w:val="fr-FR"/>
              </w:rPr>
              <w:t xml:space="preserve">trị. </w:t>
            </w:r>
          </w:p>
          <w:p w:rsidR="004D2690" w:rsidRPr="001E7BA8" w:rsidRDefault="004D2690" w:rsidP="004D2690">
            <w:pPr>
              <w:spacing w:before="120" w:after="120" w:line="312" w:lineRule="auto"/>
              <w:jc w:val="center"/>
              <w:rPr>
                <w:sz w:val="26"/>
                <w:szCs w:val="26"/>
                <w:lang w:val="fr-FR"/>
              </w:rPr>
            </w:pPr>
            <w:r w:rsidRPr="001E7BA8">
              <w:rPr>
                <w:sz w:val="26"/>
                <w:szCs w:val="26"/>
                <w:lang w:val="fr-FR"/>
              </w:rPr>
              <w:t>Trong đó</w:t>
            </w:r>
            <w:r>
              <w:rPr>
                <w:sz w:val="26"/>
                <w:szCs w:val="26"/>
                <w:lang w:val="fr-FR"/>
              </w:rPr>
              <w:t>:</w:t>
            </w:r>
          </w:p>
        </w:tc>
        <w:tc>
          <w:tcPr>
            <w:tcW w:w="3250" w:type="dxa"/>
            <w:vAlign w:val="center"/>
          </w:tcPr>
          <w:p w:rsidR="004D2690" w:rsidRPr="001E7BA8" w:rsidRDefault="004D2690" w:rsidP="004D2690">
            <w:pPr>
              <w:spacing w:before="120" w:after="120" w:line="312" w:lineRule="auto"/>
              <w:rPr>
                <w:sz w:val="26"/>
                <w:szCs w:val="26"/>
                <w:lang w:val="fr-FR"/>
              </w:rPr>
            </w:pPr>
            <w:r w:rsidRPr="001E7BA8">
              <w:rPr>
                <w:sz w:val="26"/>
                <w:szCs w:val="26"/>
                <w:lang w:val="fr-FR"/>
              </w:rPr>
              <w:t>Tổng mức thù lao</w:t>
            </w:r>
          </w:p>
        </w:tc>
        <w:tc>
          <w:tcPr>
            <w:tcW w:w="2010"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660.000.000</w:t>
            </w:r>
          </w:p>
        </w:tc>
        <w:tc>
          <w:tcPr>
            <w:tcW w:w="1991"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660.000.000</w:t>
            </w:r>
          </w:p>
        </w:tc>
      </w:tr>
      <w:tr w:rsidR="004D2690" w:rsidRPr="001E7BA8" w:rsidTr="00C76E6E">
        <w:trPr>
          <w:trHeight w:val="787"/>
        </w:trPr>
        <w:tc>
          <w:tcPr>
            <w:tcW w:w="2242" w:type="dxa"/>
            <w:vMerge/>
            <w:vAlign w:val="center"/>
          </w:tcPr>
          <w:p w:rsidR="004D2690" w:rsidRPr="001E7BA8" w:rsidRDefault="004D2690" w:rsidP="004D2690">
            <w:pPr>
              <w:spacing w:before="120" w:after="120" w:line="312" w:lineRule="auto"/>
              <w:jc w:val="center"/>
              <w:rPr>
                <w:sz w:val="26"/>
                <w:szCs w:val="26"/>
                <w:lang w:val="fr-FR"/>
              </w:rPr>
            </w:pPr>
          </w:p>
        </w:tc>
        <w:tc>
          <w:tcPr>
            <w:tcW w:w="3250" w:type="dxa"/>
            <w:vAlign w:val="center"/>
          </w:tcPr>
          <w:p w:rsidR="004D2690" w:rsidRPr="001E7BA8" w:rsidRDefault="004D2690" w:rsidP="004D2690">
            <w:pPr>
              <w:spacing w:before="120" w:after="120" w:line="312" w:lineRule="auto"/>
              <w:rPr>
                <w:sz w:val="26"/>
                <w:szCs w:val="26"/>
                <w:lang w:val="fr-FR"/>
              </w:rPr>
            </w:pPr>
            <w:r w:rsidRPr="001E7BA8">
              <w:rPr>
                <w:sz w:val="26"/>
                <w:szCs w:val="26"/>
                <w:lang w:val="fr-FR"/>
              </w:rPr>
              <w:t>Thù lao cho Chủ tịch HĐQT</w:t>
            </w:r>
          </w:p>
        </w:tc>
        <w:tc>
          <w:tcPr>
            <w:tcW w:w="2010"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180.000.000</w:t>
            </w:r>
          </w:p>
        </w:tc>
        <w:tc>
          <w:tcPr>
            <w:tcW w:w="1991"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180.000.000</w:t>
            </w:r>
          </w:p>
        </w:tc>
      </w:tr>
      <w:tr w:rsidR="004D2690" w:rsidRPr="001E7BA8" w:rsidTr="00C76E6E">
        <w:trPr>
          <w:trHeight w:val="808"/>
        </w:trPr>
        <w:tc>
          <w:tcPr>
            <w:tcW w:w="2242" w:type="dxa"/>
            <w:vMerge/>
            <w:vAlign w:val="center"/>
          </w:tcPr>
          <w:p w:rsidR="004D2690" w:rsidRPr="001E7BA8" w:rsidRDefault="004D2690" w:rsidP="004D2690">
            <w:pPr>
              <w:spacing w:before="120" w:after="120" w:line="312" w:lineRule="auto"/>
              <w:jc w:val="center"/>
              <w:rPr>
                <w:sz w:val="26"/>
                <w:szCs w:val="26"/>
                <w:lang w:val="fr-FR"/>
              </w:rPr>
            </w:pPr>
          </w:p>
        </w:tc>
        <w:tc>
          <w:tcPr>
            <w:tcW w:w="3250" w:type="dxa"/>
            <w:vAlign w:val="center"/>
          </w:tcPr>
          <w:p w:rsidR="004D2690" w:rsidRPr="001E7BA8" w:rsidRDefault="004D2690" w:rsidP="004D2690">
            <w:pPr>
              <w:spacing w:before="120" w:after="120" w:line="312" w:lineRule="auto"/>
              <w:rPr>
                <w:sz w:val="26"/>
                <w:szCs w:val="26"/>
                <w:lang w:val="fr-FR"/>
              </w:rPr>
            </w:pPr>
            <w:r w:rsidRPr="001E7BA8">
              <w:rPr>
                <w:sz w:val="26"/>
                <w:szCs w:val="26"/>
                <w:lang w:val="fr-FR"/>
              </w:rPr>
              <w:t>Thù lao cho các thành viên khác của HĐQT</w:t>
            </w:r>
          </w:p>
        </w:tc>
        <w:tc>
          <w:tcPr>
            <w:tcW w:w="2010"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480.000.000</w:t>
            </w:r>
          </w:p>
        </w:tc>
        <w:tc>
          <w:tcPr>
            <w:tcW w:w="1991"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480.000.000</w:t>
            </w:r>
          </w:p>
        </w:tc>
      </w:tr>
      <w:tr w:rsidR="004D2690" w:rsidRPr="001E7BA8" w:rsidTr="00C76E6E">
        <w:trPr>
          <w:trHeight w:val="758"/>
        </w:trPr>
        <w:tc>
          <w:tcPr>
            <w:tcW w:w="2242" w:type="dxa"/>
            <w:vMerge w:val="restart"/>
            <w:vAlign w:val="center"/>
          </w:tcPr>
          <w:p w:rsidR="004D2690" w:rsidRPr="001E7BA8" w:rsidRDefault="004D2690" w:rsidP="004D2690">
            <w:pPr>
              <w:spacing w:before="120" w:after="120" w:line="312" w:lineRule="auto"/>
              <w:jc w:val="center"/>
              <w:rPr>
                <w:sz w:val="26"/>
                <w:szCs w:val="26"/>
                <w:lang w:val="fr-FR"/>
              </w:rPr>
            </w:pPr>
            <w:r w:rsidRPr="001E7BA8">
              <w:rPr>
                <w:sz w:val="26"/>
                <w:szCs w:val="26"/>
                <w:lang w:val="fr-FR"/>
              </w:rPr>
              <w:t>Mức thù lao cho Ban kiểm soát.</w:t>
            </w:r>
            <w:r>
              <w:rPr>
                <w:sz w:val="26"/>
                <w:szCs w:val="26"/>
                <w:lang w:val="fr-FR"/>
              </w:rPr>
              <w:t xml:space="preserve"> </w:t>
            </w:r>
            <w:r w:rsidRPr="001E7BA8">
              <w:rPr>
                <w:sz w:val="26"/>
                <w:szCs w:val="26"/>
                <w:lang w:val="fr-FR"/>
              </w:rPr>
              <w:t>Trong đó:</w:t>
            </w:r>
          </w:p>
        </w:tc>
        <w:tc>
          <w:tcPr>
            <w:tcW w:w="3250" w:type="dxa"/>
            <w:vAlign w:val="center"/>
          </w:tcPr>
          <w:p w:rsidR="004D2690" w:rsidRPr="00342300" w:rsidRDefault="004D2690" w:rsidP="004D2690">
            <w:pPr>
              <w:spacing w:before="120" w:after="120" w:line="312" w:lineRule="auto"/>
              <w:rPr>
                <w:sz w:val="6"/>
                <w:szCs w:val="26"/>
                <w:lang w:val="fr-FR"/>
              </w:rPr>
            </w:pPr>
            <w:r w:rsidRPr="001E7BA8">
              <w:rPr>
                <w:sz w:val="26"/>
                <w:szCs w:val="26"/>
                <w:lang w:val="fr-FR"/>
              </w:rPr>
              <w:t>Tổng mức thù lao</w:t>
            </w:r>
          </w:p>
        </w:tc>
        <w:tc>
          <w:tcPr>
            <w:tcW w:w="2010"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264.000.000</w:t>
            </w:r>
          </w:p>
        </w:tc>
        <w:tc>
          <w:tcPr>
            <w:tcW w:w="1991"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264.000.000</w:t>
            </w:r>
          </w:p>
        </w:tc>
      </w:tr>
      <w:tr w:rsidR="004D2690" w:rsidRPr="001E7BA8" w:rsidTr="00C76E6E">
        <w:trPr>
          <w:trHeight w:val="810"/>
        </w:trPr>
        <w:tc>
          <w:tcPr>
            <w:tcW w:w="2242" w:type="dxa"/>
            <w:vMerge/>
            <w:vAlign w:val="center"/>
          </w:tcPr>
          <w:p w:rsidR="004D2690" w:rsidRPr="001E7BA8" w:rsidRDefault="004D2690" w:rsidP="004D2690">
            <w:pPr>
              <w:spacing w:before="120" w:after="120" w:line="312" w:lineRule="auto"/>
              <w:jc w:val="center"/>
              <w:rPr>
                <w:sz w:val="26"/>
                <w:szCs w:val="26"/>
                <w:lang w:val="fr-FR"/>
              </w:rPr>
            </w:pPr>
          </w:p>
        </w:tc>
        <w:tc>
          <w:tcPr>
            <w:tcW w:w="3250" w:type="dxa"/>
            <w:vAlign w:val="center"/>
          </w:tcPr>
          <w:p w:rsidR="004D2690" w:rsidRPr="001E7BA8" w:rsidRDefault="004D2690" w:rsidP="004D2690">
            <w:pPr>
              <w:spacing w:before="120" w:after="120" w:line="312" w:lineRule="auto"/>
              <w:rPr>
                <w:sz w:val="26"/>
                <w:szCs w:val="26"/>
                <w:lang w:val="fr-FR"/>
              </w:rPr>
            </w:pPr>
            <w:r w:rsidRPr="001E7BA8">
              <w:rPr>
                <w:sz w:val="26"/>
                <w:szCs w:val="26"/>
                <w:lang w:val="fr-FR"/>
              </w:rPr>
              <w:t>Thù lao cho Trưởng BKS</w:t>
            </w:r>
          </w:p>
        </w:tc>
        <w:tc>
          <w:tcPr>
            <w:tcW w:w="2010"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120.000.000</w:t>
            </w:r>
          </w:p>
        </w:tc>
        <w:tc>
          <w:tcPr>
            <w:tcW w:w="1991"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120.000.000</w:t>
            </w:r>
          </w:p>
        </w:tc>
      </w:tr>
      <w:tr w:rsidR="004D2690" w:rsidRPr="001E7BA8" w:rsidTr="00C76E6E">
        <w:trPr>
          <w:trHeight w:val="788"/>
        </w:trPr>
        <w:tc>
          <w:tcPr>
            <w:tcW w:w="2242" w:type="dxa"/>
            <w:vMerge/>
            <w:vAlign w:val="center"/>
          </w:tcPr>
          <w:p w:rsidR="004D2690" w:rsidRPr="001E7BA8" w:rsidRDefault="004D2690" w:rsidP="004D2690">
            <w:pPr>
              <w:spacing w:before="120" w:after="120" w:line="312" w:lineRule="auto"/>
              <w:jc w:val="center"/>
              <w:rPr>
                <w:sz w:val="26"/>
                <w:szCs w:val="26"/>
                <w:lang w:val="fr-FR"/>
              </w:rPr>
            </w:pPr>
          </w:p>
        </w:tc>
        <w:tc>
          <w:tcPr>
            <w:tcW w:w="3250" w:type="dxa"/>
            <w:vAlign w:val="center"/>
          </w:tcPr>
          <w:p w:rsidR="004D2690" w:rsidRPr="001E7BA8" w:rsidRDefault="004D2690" w:rsidP="004D2690">
            <w:pPr>
              <w:spacing w:before="120" w:after="120" w:line="312" w:lineRule="auto"/>
              <w:rPr>
                <w:sz w:val="26"/>
                <w:szCs w:val="26"/>
                <w:lang w:val="fr-FR"/>
              </w:rPr>
            </w:pPr>
            <w:r w:rsidRPr="001E7BA8">
              <w:rPr>
                <w:sz w:val="26"/>
                <w:szCs w:val="26"/>
                <w:lang w:val="fr-FR"/>
              </w:rPr>
              <w:t>Thù lao cho thành viên khác của BKS</w:t>
            </w:r>
          </w:p>
        </w:tc>
        <w:tc>
          <w:tcPr>
            <w:tcW w:w="2010"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144.000.000</w:t>
            </w:r>
          </w:p>
        </w:tc>
        <w:tc>
          <w:tcPr>
            <w:tcW w:w="1991" w:type="dxa"/>
            <w:vAlign w:val="center"/>
          </w:tcPr>
          <w:p w:rsidR="004D2690" w:rsidRPr="001E7BA8" w:rsidRDefault="004D2690" w:rsidP="004D2690">
            <w:pPr>
              <w:spacing w:before="120" w:after="120" w:line="312" w:lineRule="auto"/>
              <w:jc w:val="right"/>
              <w:rPr>
                <w:sz w:val="26"/>
                <w:szCs w:val="26"/>
                <w:lang w:val="fr-FR"/>
              </w:rPr>
            </w:pPr>
            <w:r>
              <w:rPr>
                <w:sz w:val="26"/>
                <w:szCs w:val="26"/>
                <w:lang w:val="fr-FR"/>
              </w:rPr>
              <w:t>144.000.000</w:t>
            </w:r>
          </w:p>
        </w:tc>
      </w:tr>
    </w:tbl>
    <w:p w:rsidR="004829C2" w:rsidRPr="001E7BA8" w:rsidRDefault="004829C2" w:rsidP="00B03F89">
      <w:pPr>
        <w:numPr>
          <w:ilvl w:val="0"/>
          <w:numId w:val="3"/>
        </w:numPr>
        <w:tabs>
          <w:tab w:val="left" w:pos="360"/>
        </w:tabs>
        <w:spacing w:before="120" w:after="120" w:line="348" w:lineRule="auto"/>
        <w:ind w:left="0" w:firstLine="0"/>
        <w:jc w:val="both"/>
        <w:rPr>
          <w:b/>
          <w:sz w:val="26"/>
          <w:szCs w:val="26"/>
          <w:lang w:val="fr-FR"/>
        </w:rPr>
      </w:pPr>
      <w:r>
        <w:rPr>
          <w:b/>
          <w:sz w:val="26"/>
          <w:szCs w:val="26"/>
          <w:lang w:val="fr-FR"/>
        </w:rPr>
        <w:t>Thôn</w:t>
      </w:r>
      <w:r w:rsidR="003F542C">
        <w:rPr>
          <w:b/>
          <w:sz w:val="26"/>
          <w:szCs w:val="26"/>
          <w:lang w:val="fr-FR"/>
        </w:rPr>
        <w:t>g qua Báo cáo tài chính năm 201</w:t>
      </w:r>
      <w:r w:rsidR="00D16EF0">
        <w:rPr>
          <w:b/>
          <w:sz w:val="26"/>
          <w:szCs w:val="26"/>
          <w:lang w:val="fr-FR"/>
        </w:rPr>
        <w:t>5</w:t>
      </w:r>
      <w:r>
        <w:rPr>
          <w:b/>
          <w:sz w:val="26"/>
          <w:szCs w:val="26"/>
          <w:lang w:val="fr-FR"/>
        </w:rPr>
        <w:t xml:space="preserve"> đã được kiểm toán bởi Công ty TNHH Kiểm toán và Tư vấn tài chính Quốc tế </w:t>
      </w:r>
      <w:r w:rsidR="00902927">
        <w:rPr>
          <w:b/>
          <w:sz w:val="26"/>
          <w:szCs w:val="26"/>
          <w:lang w:val="fr-FR"/>
        </w:rPr>
        <w:t>(IFC)</w:t>
      </w:r>
    </w:p>
    <w:p w:rsidR="003F49EB" w:rsidRDefault="009C2602" w:rsidP="00283F49">
      <w:pPr>
        <w:spacing w:before="120" w:after="120" w:line="348" w:lineRule="auto"/>
        <w:jc w:val="both"/>
        <w:rPr>
          <w:sz w:val="26"/>
          <w:szCs w:val="26"/>
          <w:lang w:val="fr-FR"/>
        </w:rPr>
      </w:pPr>
      <w:r>
        <w:rPr>
          <w:sz w:val="26"/>
          <w:szCs w:val="26"/>
          <w:lang w:val="fr-FR"/>
        </w:rPr>
        <w:tab/>
      </w:r>
      <w:r w:rsidR="004D2690">
        <w:rPr>
          <w:sz w:val="26"/>
          <w:szCs w:val="26"/>
          <w:lang w:val="fr-FR"/>
        </w:rPr>
        <w:t>Theo kết quả kiểm toán năm 201</w:t>
      </w:r>
      <w:r w:rsidR="00D16EF0">
        <w:rPr>
          <w:sz w:val="26"/>
          <w:szCs w:val="26"/>
          <w:lang w:val="fr-FR"/>
        </w:rPr>
        <w:t>5</w:t>
      </w:r>
      <w:r w:rsidR="00F847E7">
        <w:rPr>
          <w:sz w:val="26"/>
          <w:szCs w:val="26"/>
          <w:lang w:val="fr-FR"/>
        </w:rPr>
        <w:t xml:space="preserve"> được thực hiện bởi Công ty TNHH Kiểm toán và Tư vấn tài chính Quốc tế (IFC):</w:t>
      </w:r>
      <w:r w:rsidR="00F847E7" w:rsidRPr="009731DC">
        <w:rPr>
          <w:sz w:val="26"/>
        </w:rPr>
        <w:t xml:space="preserve"> </w:t>
      </w:r>
      <w:r w:rsidR="00F847E7">
        <w:rPr>
          <w:sz w:val="26"/>
        </w:rPr>
        <w:t>“Báo</w:t>
      </w:r>
      <w:r w:rsidR="00F847E7">
        <w:rPr>
          <w:sz w:val="26"/>
          <w:szCs w:val="26"/>
          <w:lang w:val="fr-FR"/>
        </w:rPr>
        <w:t xml:space="preserve"> </w:t>
      </w:r>
      <w:r w:rsidR="00F847E7">
        <w:rPr>
          <w:sz w:val="26"/>
          <w:szCs w:val="26"/>
        </w:rPr>
        <w:t xml:space="preserve">cáo tài chính của Công ty </w:t>
      </w:r>
      <w:r w:rsidR="00F847E7" w:rsidRPr="009C2602">
        <w:rPr>
          <w:sz w:val="26"/>
          <w:szCs w:val="26"/>
        </w:rPr>
        <w:t>đã phản ánh trung thực và hợp lý, trên các khía cạnh trọng yếu, tình hình tài chính của Công ty tại ngày 31 tháng 12 năm 201</w:t>
      </w:r>
      <w:r w:rsidR="000137D6">
        <w:rPr>
          <w:sz w:val="26"/>
          <w:szCs w:val="26"/>
        </w:rPr>
        <w:t>5</w:t>
      </w:r>
      <w:r w:rsidR="00F847E7" w:rsidRPr="009C2602">
        <w:rPr>
          <w:sz w:val="26"/>
          <w:szCs w:val="26"/>
        </w:rPr>
        <w:t xml:space="preserve"> cũng như kết quả hoạt động kinh doanh và tình hình lưu chuyển tiền tệ cho năm tài chính kết thúc cùng ngày, phù hợp với các </w:t>
      </w:r>
      <w:r w:rsidR="00F847E7" w:rsidRPr="009C2602">
        <w:rPr>
          <w:sz w:val="26"/>
          <w:szCs w:val="26"/>
          <w:lang w:val="es-MX"/>
        </w:rPr>
        <w:t>Chuẩn mực và Chế độ Kế toán Việt Nam hiện hành và các quy định pháp lý có liên qua</w:t>
      </w:r>
      <w:r w:rsidR="00F847E7">
        <w:rPr>
          <w:sz w:val="26"/>
          <w:szCs w:val="26"/>
          <w:lang w:val="es-MX"/>
        </w:rPr>
        <w:t>n” (trích kết luận của Báo cáo kiểm toán)</w:t>
      </w:r>
      <w:r w:rsidR="00F847E7" w:rsidRPr="009C2602">
        <w:rPr>
          <w:sz w:val="26"/>
          <w:szCs w:val="26"/>
          <w:lang w:val="fr-FR"/>
        </w:rPr>
        <w:t>.</w:t>
      </w:r>
    </w:p>
    <w:p w:rsidR="004829C2" w:rsidRDefault="009C2602" w:rsidP="003F49EB">
      <w:pPr>
        <w:spacing w:before="120" w:after="120" w:line="348" w:lineRule="auto"/>
        <w:ind w:firstLine="720"/>
        <w:jc w:val="both"/>
        <w:rPr>
          <w:sz w:val="26"/>
          <w:szCs w:val="26"/>
          <w:lang w:val="es-MX"/>
        </w:rPr>
      </w:pPr>
      <w:r w:rsidRPr="009C2602">
        <w:rPr>
          <w:sz w:val="26"/>
          <w:szCs w:val="26"/>
          <w:lang w:val="fr-FR"/>
        </w:rPr>
        <w:t xml:space="preserve"> </w:t>
      </w:r>
      <w:r w:rsidR="00DD3C8E">
        <w:rPr>
          <w:sz w:val="26"/>
          <w:szCs w:val="26"/>
          <w:lang w:val="fr-FR"/>
        </w:rPr>
        <w:t>Hội đồng quản trị kí</w:t>
      </w:r>
      <w:r w:rsidR="00AE6EC0" w:rsidRPr="003F49EB">
        <w:rPr>
          <w:sz w:val="26"/>
          <w:szCs w:val="26"/>
          <w:lang w:val="fr-FR"/>
        </w:rPr>
        <w:t>nh đề nghị Quý cổ đông thông qua Báo cáo tài chính năm 201</w:t>
      </w:r>
      <w:r w:rsidR="000137D6">
        <w:rPr>
          <w:sz w:val="26"/>
          <w:szCs w:val="26"/>
          <w:lang w:val="fr-FR"/>
        </w:rPr>
        <w:t>5</w:t>
      </w:r>
      <w:r w:rsidR="00AE6EC0" w:rsidRPr="003F49EB">
        <w:rPr>
          <w:sz w:val="26"/>
          <w:szCs w:val="26"/>
          <w:lang w:val="fr-FR"/>
        </w:rPr>
        <w:t xml:space="preserve"> đã được kiểm toán bởi Công ty TNHH Kiểm toán và tư vấn tài chính Quốc tế</w:t>
      </w:r>
      <w:r w:rsidR="003F49EB" w:rsidRPr="003F49EB">
        <w:rPr>
          <w:sz w:val="26"/>
          <w:szCs w:val="26"/>
          <w:lang w:val="fr-FR"/>
        </w:rPr>
        <w:t xml:space="preserve">, bao </w:t>
      </w:r>
      <w:r w:rsidR="003F49EB" w:rsidRPr="003F49EB">
        <w:rPr>
          <w:sz w:val="26"/>
          <w:szCs w:val="26"/>
          <w:lang w:val="es-MX"/>
        </w:rPr>
        <w:t xml:space="preserve">gồm: Bảng Cân đối kế toán, Báo cáo Kết quả hoạt động kinh doanh, Báo cáo Lưu chuyển tiền tệ và Thuyết minh Báo cáo tài chính </w:t>
      </w:r>
      <w:r w:rsidR="003F49EB" w:rsidRPr="003F49EB">
        <w:rPr>
          <w:sz w:val="26"/>
          <w:szCs w:val="26"/>
        </w:rPr>
        <w:t>cho năm tài chính kết thúc ngày 31 tháng 12 năm 201</w:t>
      </w:r>
      <w:r w:rsidR="00D16EF0">
        <w:rPr>
          <w:sz w:val="26"/>
          <w:szCs w:val="26"/>
        </w:rPr>
        <w:t>5</w:t>
      </w:r>
      <w:r w:rsidR="003F49EB" w:rsidRPr="003F49EB">
        <w:rPr>
          <w:sz w:val="26"/>
          <w:szCs w:val="26"/>
        </w:rPr>
        <w:t xml:space="preserve"> </w:t>
      </w:r>
      <w:r w:rsidR="003F49EB" w:rsidRPr="003F49EB">
        <w:rPr>
          <w:sz w:val="26"/>
          <w:szCs w:val="26"/>
          <w:lang w:val="es-MX"/>
        </w:rPr>
        <w:t>của Công ty Cổ phần Nhựa và Môi trường xanh An Phát</w:t>
      </w:r>
      <w:r w:rsidR="00296530">
        <w:rPr>
          <w:sz w:val="26"/>
          <w:szCs w:val="26"/>
          <w:lang w:val="es-MX"/>
        </w:rPr>
        <w:t>.</w:t>
      </w:r>
    </w:p>
    <w:p w:rsidR="0093412F" w:rsidRDefault="0093412F" w:rsidP="00B03F89">
      <w:pPr>
        <w:pStyle w:val="ListParagraph"/>
        <w:numPr>
          <w:ilvl w:val="0"/>
          <w:numId w:val="3"/>
        </w:numPr>
        <w:tabs>
          <w:tab w:val="clear" w:pos="1080"/>
          <w:tab w:val="num" w:pos="540"/>
        </w:tabs>
        <w:spacing w:before="120" w:after="120" w:line="348" w:lineRule="auto"/>
        <w:ind w:left="180" w:hanging="180"/>
        <w:jc w:val="both"/>
        <w:rPr>
          <w:b/>
          <w:sz w:val="26"/>
        </w:rPr>
      </w:pPr>
      <w:r>
        <w:rPr>
          <w:b/>
          <w:sz w:val="26"/>
        </w:rPr>
        <w:lastRenderedPageBreak/>
        <w:t>Phê duyệt các chỉ ti</w:t>
      </w:r>
      <w:r w:rsidR="004C6EEA">
        <w:rPr>
          <w:b/>
          <w:sz w:val="26"/>
        </w:rPr>
        <w:t>êu trong kế hoạch hoạt động 201</w:t>
      </w:r>
      <w:r w:rsidR="00D16EF0">
        <w:rPr>
          <w:b/>
          <w:sz w:val="26"/>
        </w:rPr>
        <w:t xml:space="preserve">6 </w:t>
      </w:r>
      <w:r>
        <w:rPr>
          <w:b/>
          <w:sz w:val="26"/>
        </w:rPr>
        <w:t>như sau</w:t>
      </w:r>
    </w:p>
    <w:p w:rsidR="00C76E6E" w:rsidRPr="00C76E6E" w:rsidRDefault="00C76E6E" w:rsidP="00C76E6E">
      <w:pPr>
        <w:pStyle w:val="ListParagraph"/>
        <w:spacing w:before="120" w:after="120" w:line="348" w:lineRule="auto"/>
        <w:ind w:left="900"/>
        <w:jc w:val="both"/>
        <w:rPr>
          <w:sz w:val="26"/>
        </w:rPr>
      </w:pPr>
      <w:r>
        <w:rPr>
          <w:sz w:val="26"/>
        </w:rPr>
        <w:t>Một số chỉ tiêu:</w:t>
      </w:r>
    </w:p>
    <w:tbl>
      <w:tblPr>
        <w:tblW w:w="9257"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4444"/>
        <w:gridCol w:w="3694"/>
      </w:tblGrid>
      <w:tr w:rsidR="0072002D" w:rsidRPr="00785C31" w:rsidTr="007E5FD3">
        <w:trPr>
          <w:trHeight w:val="380"/>
          <w:jc w:val="center"/>
        </w:trPr>
        <w:tc>
          <w:tcPr>
            <w:tcW w:w="1119" w:type="dxa"/>
            <w:vAlign w:val="center"/>
          </w:tcPr>
          <w:p w:rsidR="0072002D" w:rsidRPr="00785C31" w:rsidRDefault="0072002D" w:rsidP="006765DE">
            <w:pPr>
              <w:pStyle w:val="ListParagraph"/>
              <w:spacing w:line="360" w:lineRule="auto"/>
              <w:ind w:left="0"/>
              <w:jc w:val="center"/>
              <w:rPr>
                <w:b/>
                <w:sz w:val="26"/>
                <w:szCs w:val="26"/>
              </w:rPr>
            </w:pPr>
            <w:r w:rsidRPr="00785C31">
              <w:rPr>
                <w:b/>
                <w:sz w:val="26"/>
                <w:szCs w:val="26"/>
              </w:rPr>
              <w:t>STT</w:t>
            </w:r>
          </w:p>
        </w:tc>
        <w:tc>
          <w:tcPr>
            <w:tcW w:w="4444" w:type="dxa"/>
            <w:vAlign w:val="center"/>
          </w:tcPr>
          <w:p w:rsidR="0072002D" w:rsidRPr="00785C31" w:rsidRDefault="0072002D" w:rsidP="006765DE">
            <w:pPr>
              <w:pStyle w:val="ListParagraph"/>
              <w:spacing w:line="360" w:lineRule="auto"/>
              <w:ind w:left="0"/>
              <w:jc w:val="center"/>
              <w:rPr>
                <w:b/>
                <w:sz w:val="26"/>
                <w:szCs w:val="26"/>
              </w:rPr>
            </w:pPr>
            <w:r w:rsidRPr="00785C31">
              <w:rPr>
                <w:b/>
                <w:sz w:val="26"/>
                <w:szCs w:val="26"/>
              </w:rPr>
              <w:t>Chỉ tiêu</w:t>
            </w:r>
          </w:p>
        </w:tc>
        <w:tc>
          <w:tcPr>
            <w:tcW w:w="3694" w:type="dxa"/>
            <w:vAlign w:val="center"/>
          </w:tcPr>
          <w:p w:rsidR="0072002D" w:rsidRPr="00785C31" w:rsidRDefault="0072002D" w:rsidP="006765DE">
            <w:pPr>
              <w:pStyle w:val="ListParagraph"/>
              <w:spacing w:line="360" w:lineRule="auto"/>
              <w:ind w:left="0"/>
              <w:jc w:val="center"/>
              <w:rPr>
                <w:b/>
                <w:sz w:val="26"/>
                <w:szCs w:val="26"/>
              </w:rPr>
            </w:pPr>
            <w:r w:rsidRPr="00785C31">
              <w:rPr>
                <w:b/>
                <w:sz w:val="26"/>
                <w:szCs w:val="26"/>
              </w:rPr>
              <w:t>Kế hoạch năm 201</w:t>
            </w:r>
            <w:r w:rsidR="00D16EF0">
              <w:rPr>
                <w:b/>
                <w:sz w:val="26"/>
                <w:szCs w:val="26"/>
              </w:rPr>
              <w:t>6</w:t>
            </w:r>
          </w:p>
        </w:tc>
      </w:tr>
      <w:tr w:rsidR="0072002D" w:rsidRPr="00785C31" w:rsidTr="007E5FD3">
        <w:trPr>
          <w:trHeight w:val="597"/>
          <w:jc w:val="center"/>
        </w:trPr>
        <w:tc>
          <w:tcPr>
            <w:tcW w:w="1119" w:type="dxa"/>
            <w:vAlign w:val="center"/>
          </w:tcPr>
          <w:p w:rsidR="0072002D" w:rsidRPr="00785C31" w:rsidRDefault="0072002D" w:rsidP="006765DE">
            <w:pPr>
              <w:pStyle w:val="ListParagraph"/>
              <w:spacing w:line="360" w:lineRule="auto"/>
              <w:ind w:left="0"/>
              <w:jc w:val="center"/>
              <w:rPr>
                <w:sz w:val="26"/>
                <w:szCs w:val="26"/>
              </w:rPr>
            </w:pPr>
            <w:r w:rsidRPr="00785C31">
              <w:rPr>
                <w:sz w:val="26"/>
                <w:szCs w:val="26"/>
              </w:rPr>
              <w:t>1</w:t>
            </w:r>
          </w:p>
        </w:tc>
        <w:tc>
          <w:tcPr>
            <w:tcW w:w="4444" w:type="dxa"/>
            <w:vAlign w:val="center"/>
          </w:tcPr>
          <w:p w:rsidR="0072002D" w:rsidRPr="00785C31" w:rsidRDefault="0072002D" w:rsidP="006765DE">
            <w:pPr>
              <w:pStyle w:val="ListParagraph"/>
              <w:spacing w:line="360" w:lineRule="auto"/>
              <w:ind w:left="0"/>
              <w:jc w:val="right"/>
              <w:rPr>
                <w:sz w:val="26"/>
                <w:szCs w:val="26"/>
              </w:rPr>
            </w:pPr>
            <w:r w:rsidRPr="00785C31">
              <w:rPr>
                <w:sz w:val="26"/>
                <w:szCs w:val="26"/>
              </w:rPr>
              <w:t>Sản lượng sản xuất (tấn/năm</w:t>
            </w:r>
            <w:r w:rsidRPr="00785C31">
              <w:rPr>
                <w:color w:val="000000"/>
                <w:kern w:val="24"/>
                <w:sz w:val="26"/>
                <w:szCs w:val="26"/>
              </w:rPr>
              <w:t>)</w:t>
            </w:r>
          </w:p>
        </w:tc>
        <w:tc>
          <w:tcPr>
            <w:tcW w:w="3694" w:type="dxa"/>
            <w:vAlign w:val="center"/>
          </w:tcPr>
          <w:p w:rsidR="0072002D" w:rsidRPr="00785C31" w:rsidRDefault="00CB13CF" w:rsidP="009220BE">
            <w:pPr>
              <w:pStyle w:val="NormalWeb"/>
              <w:spacing w:before="0" w:beforeAutospacing="0" w:after="0" w:afterAutospacing="0"/>
              <w:jc w:val="right"/>
              <w:textAlignment w:val="center"/>
              <w:rPr>
                <w:sz w:val="26"/>
                <w:szCs w:val="26"/>
              </w:rPr>
            </w:pPr>
            <w:r>
              <w:rPr>
                <w:sz w:val="26"/>
                <w:szCs w:val="26"/>
              </w:rPr>
              <w:t>53</w:t>
            </w:r>
            <w:r w:rsidR="00D81744">
              <w:rPr>
                <w:sz w:val="26"/>
                <w:szCs w:val="26"/>
              </w:rPr>
              <w:t>.000</w:t>
            </w:r>
          </w:p>
        </w:tc>
      </w:tr>
      <w:tr w:rsidR="0072002D" w:rsidRPr="00785C31" w:rsidTr="007E5FD3">
        <w:trPr>
          <w:trHeight w:val="507"/>
          <w:jc w:val="center"/>
        </w:trPr>
        <w:tc>
          <w:tcPr>
            <w:tcW w:w="1119" w:type="dxa"/>
            <w:vAlign w:val="bottom"/>
          </w:tcPr>
          <w:p w:rsidR="0072002D" w:rsidRPr="00785C31" w:rsidRDefault="0072002D" w:rsidP="006765DE">
            <w:pPr>
              <w:pStyle w:val="ListParagraph"/>
              <w:spacing w:line="360" w:lineRule="auto"/>
              <w:ind w:left="0"/>
              <w:jc w:val="center"/>
              <w:rPr>
                <w:sz w:val="26"/>
                <w:szCs w:val="26"/>
              </w:rPr>
            </w:pPr>
            <w:r w:rsidRPr="00785C31">
              <w:rPr>
                <w:sz w:val="26"/>
                <w:szCs w:val="26"/>
              </w:rPr>
              <w:t>2</w:t>
            </w:r>
          </w:p>
        </w:tc>
        <w:tc>
          <w:tcPr>
            <w:tcW w:w="4444" w:type="dxa"/>
            <w:vAlign w:val="center"/>
          </w:tcPr>
          <w:p w:rsidR="0072002D" w:rsidRPr="00785C31" w:rsidRDefault="0072002D" w:rsidP="006765DE">
            <w:pPr>
              <w:pStyle w:val="NormalWeb"/>
              <w:spacing w:before="0" w:beforeAutospacing="0" w:after="0" w:afterAutospacing="0"/>
              <w:jc w:val="right"/>
              <w:textAlignment w:val="center"/>
              <w:rPr>
                <w:sz w:val="26"/>
                <w:szCs w:val="26"/>
              </w:rPr>
            </w:pPr>
            <w:r w:rsidRPr="00785C31">
              <w:rPr>
                <w:color w:val="000000"/>
                <w:kern w:val="24"/>
                <w:sz w:val="26"/>
                <w:szCs w:val="26"/>
              </w:rPr>
              <w:t xml:space="preserve">Tổng doanh thu </w:t>
            </w:r>
            <w:r w:rsidR="00430A3C">
              <w:rPr>
                <w:color w:val="000000"/>
                <w:kern w:val="24"/>
                <w:sz w:val="26"/>
                <w:szCs w:val="26"/>
              </w:rPr>
              <w:t xml:space="preserve"> h</w:t>
            </w:r>
            <w:r w:rsidR="00430A3C" w:rsidRPr="00430A3C">
              <w:rPr>
                <w:color w:val="000000"/>
                <w:kern w:val="24"/>
                <w:sz w:val="26"/>
                <w:szCs w:val="26"/>
              </w:rPr>
              <w:t>ợp</w:t>
            </w:r>
            <w:r w:rsidR="00430A3C">
              <w:rPr>
                <w:color w:val="000000"/>
                <w:kern w:val="24"/>
                <w:sz w:val="26"/>
                <w:szCs w:val="26"/>
              </w:rPr>
              <w:t xml:space="preserve"> nh</w:t>
            </w:r>
            <w:r w:rsidR="00430A3C" w:rsidRPr="00430A3C">
              <w:rPr>
                <w:color w:val="000000"/>
                <w:kern w:val="24"/>
                <w:sz w:val="26"/>
                <w:szCs w:val="26"/>
              </w:rPr>
              <w:t>ất</w:t>
            </w:r>
            <w:r w:rsidR="00430A3C">
              <w:rPr>
                <w:color w:val="000000"/>
                <w:kern w:val="24"/>
                <w:sz w:val="26"/>
                <w:szCs w:val="26"/>
              </w:rPr>
              <w:t xml:space="preserve"> </w:t>
            </w:r>
            <w:r w:rsidRPr="00785C31">
              <w:rPr>
                <w:color w:val="000000"/>
                <w:kern w:val="24"/>
                <w:sz w:val="26"/>
                <w:szCs w:val="26"/>
              </w:rPr>
              <w:t>(đồng)</w:t>
            </w:r>
          </w:p>
        </w:tc>
        <w:tc>
          <w:tcPr>
            <w:tcW w:w="3694" w:type="dxa"/>
            <w:vAlign w:val="center"/>
          </w:tcPr>
          <w:p w:rsidR="0072002D" w:rsidRPr="00785C31" w:rsidRDefault="00D16EF0" w:rsidP="008A5CF6">
            <w:pPr>
              <w:pStyle w:val="NormalWeb"/>
              <w:spacing w:before="0" w:beforeAutospacing="0" w:after="0" w:afterAutospacing="0"/>
              <w:jc w:val="right"/>
              <w:textAlignment w:val="center"/>
              <w:rPr>
                <w:sz w:val="26"/>
                <w:szCs w:val="26"/>
              </w:rPr>
            </w:pPr>
            <w:r>
              <w:rPr>
                <w:sz w:val="26"/>
                <w:szCs w:val="26"/>
              </w:rPr>
              <w:t>2.1</w:t>
            </w:r>
            <w:r w:rsidR="00D81744">
              <w:rPr>
                <w:sz w:val="26"/>
                <w:szCs w:val="26"/>
              </w:rPr>
              <w:t>00.000.000.000</w:t>
            </w:r>
          </w:p>
        </w:tc>
      </w:tr>
      <w:tr w:rsidR="0072002D" w:rsidRPr="00785C31" w:rsidTr="007E5FD3">
        <w:trPr>
          <w:trHeight w:val="597"/>
          <w:jc w:val="center"/>
        </w:trPr>
        <w:tc>
          <w:tcPr>
            <w:tcW w:w="1119" w:type="dxa"/>
            <w:vAlign w:val="bottom"/>
          </w:tcPr>
          <w:p w:rsidR="0072002D" w:rsidRPr="00785C31" w:rsidRDefault="0072002D" w:rsidP="006765DE">
            <w:pPr>
              <w:pStyle w:val="ListParagraph"/>
              <w:spacing w:line="360" w:lineRule="auto"/>
              <w:ind w:left="0"/>
              <w:jc w:val="center"/>
              <w:rPr>
                <w:sz w:val="26"/>
                <w:szCs w:val="26"/>
              </w:rPr>
            </w:pPr>
            <w:r w:rsidRPr="00785C31">
              <w:rPr>
                <w:sz w:val="26"/>
                <w:szCs w:val="26"/>
              </w:rPr>
              <w:t>3</w:t>
            </w:r>
          </w:p>
        </w:tc>
        <w:tc>
          <w:tcPr>
            <w:tcW w:w="4444" w:type="dxa"/>
            <w:vAlign w:val="center"/>
          </w:tcPr>
          <w:p w:rsidR="0072002D" w:rsidRPr="00785C31" w:rsidRDefault="0072002D" w:rsidP="008A5CF6">
            <w:pPr>
              <w:pStyle w:val="NormalWeb"/>
              <w:spacing w:before="0" w:beforeAutospacing="0" w:after="0" w:afterAutospacing="0"/>
              <w:jc w:val="right"/>
              <w:textAlignment w:val="center"/>
              <w:rPr>
                <w:sz w:val="26"/>
                <w:szCs w:val="26"/>
              </w:rPr>
            </w:pPr>
            <w:r w:rsidRPr="00785C31">
              <w:rPr>
                <w:color w:val="000000"/>
                <w:kern w:val="24"/>
                <w:sz w:val="26"/>
                <w:szCs w:val="26"/>
              </w:rPr>
              <w:t xml:space="preserve">Lợi nhuận </w:t>
            </w:r>
            <w:r w:rsidR="008A5CF6">
              <w:rPr>
                <w:color w:val="000000"/>
                <w:kern w:val="24"/>
                <w:sz w:val="26"/>
                <w:szCs w:val="26"/>
              </w:rPr>
              <w:t xml:space="preserve">sau </w:t>
            </w:r>
            <w:r w:rsidRPr="00785C31">
              <w:rPr>
                <w:color w:val="000000"/>
                <w:kern w:val="24"/>
                <w:sz w:val="26"/>
                <w:szCs w:val="26"/>
              </w:rPr>
              <w:t xml:space="preserve">thuế </w:t>
            </w:r>
            <w:r w:rsidR="00430A3C">
              <w:rPr>
                <w:color w:val="000000"/>
                <w:kern w:val="24"/>
                <w:sz w:val="26"/>
                <w:szCs w:val="26"/>
              </w:rPr>
              <w:t>h</w:t>
            </w:r>
            <w:r w:rsidR="00430A3C" w:rsidRPr="00430A3C">
              <w:rPr>
                <w:color w:val="000000"/>
                <w:kern w:val="24"/>
                <w:sz w:val="26"/>
                <w:szCs w:val="26"/>
              </w:rPr>
              <w:t>ợp</w:t>
            </w:r>
            <w:r w:rsidR="00430A3C">
              <w:rPr>
                <w:color w:val="000000"/>
                <w:kern w:val="24"/>
                <w:sz w:val="26"/>
                <w:szCs w:val="26"/>
              </w:rPr>
              <w:t xml:space="preserve"> nh</w:t>
            </w:r>
            <w:r w:rsidR="00430A3C" w:rsidRPr="00430A3C">
              <w:rPr>
                <w:color w:val="000000"/>
                <w:kern w:val="24"/>
                <w:sz w:val="26"/>
                <w:szCs w:val="26"/>
              </w:rPr>
              <w:t>ất</w:t>
            </w:r>
            <w:r w:rsidR="00430A3C">
              <w:rPr>
                <w:color w:val="000000"/>
                <w:kern w:val="24"/>
                <w:sz w:val="26"/>
                <w:szCs w:val="26"/>
              </w:rPr>
              <w:t xml:space="preserve"> </w:t>
            </w:r>
            <w:r w:rsidRPr="00785C31">
              <w:rPr>
                <w:color w:val="000000"/>
                <w:kern w:val="24"/>
                <w:sz w:val="26"/>
                <w:szCs w:val="26"/>
              </w:rPr>
              <w:t>(đồng)</w:t>
            </w:r>
          </w:p>
        </w:tc>
        <w:tc>
          <w:tcPr>
            <w:tcW w:w="3694" w:type="dxa"/>
            <w:vAlign w:val="center"/>
          </w:tcPr>
          <w:p w:rsidR="0072002D" w:rsidRPr="00785C31" w:rsidRDefault="00D16EF0" w:rsidP="006765DE">
            <w:pPr>
              <w:pStyle w:val="NormalWeb"/>
              <w:spacing w:before="0" w:beforeAutospacing="0" w:after="0" w:afterAutospacing="0"/>
              <w:jc w:val="right"/>
              <w:textAlignment w:val="center"/>
              <w:rPr>
                <w:sz w:val="26"/>
                <w:szCs w:val="26"/>
              </w:rPr>
            </w:pPr>
            <w:r>
              <w:rPr>
                <w:sz w:val="26"/>
                <w:szCs w:val="26"/>
              </w:rPr>
              <w:t>100</w:t>
            </w:r>
            <w:r w:rsidR="008A5CF6">
              <w:rPr>
                <w:sz w:val="26"/>
                <w:szCs w:val="26"/>
              </w:rPr>
              <w:t>.000.000.000</w:t>
            </w:r>
          </w:p>
        </w:tc>
      </w:tr>
      <w:tr w:rsidR="00F532F6" w:rsidRPr="00785C31" w:rsidTr="007E5FD3">
        <w:trPr>
          <w:trHeight w:val="597"/>
          <w:jc w:val="center"/>
        </w:trPr>
        <w:tc>
          <w:tcPr>
            <w:tcW w:w="1119" w:type="dxa"/>
            <w:vAlign w:val="bottom"/>
          </w:tcPr>
          <w:p w:rsidR="00F532F6" w:rsidRPr="00785C31" w:rsidRDefault="00F532F6" w:rsidP="006765DE">
            <w:pPr>
              <w:pStyle w:val="ListParagraph"/>
              <w:spacing w:line="360" w:lineRule="auto"/>
              <w:ind w:left="0"/>
              <w:jc w:val="center"/>
              <w:rPr>
                <w:sz w:val="26"/>
                <w:szCs w:val="26"/>
              </w:rPr>
            </w:pPr>
            <w:r>
              <w:rPr>
                <w:sz w:val="26"/>
                <w:szCs w:val="26"/>
              </w:rPr>
              <w:t>4</w:t>
            </w:r>
          </w:p>
        </w:tc>
        <w:tc>
          <w:tcPr>
            <w:tcW w:w="4444" w:type="dxa"/>
            <w:vAlign w:val="center"/>
          </w:tcPr>
          <w:p w:rsidR="00F532F6" w:rsidRPr="00785C31" w:rsidRDefault="00F532F6" w:rsidP="008A5CF6">
            <w:pPr>
              <w:pStyle w:val="NormalWeb"/>
              <w:spacing w:before="0" w:beforeAutospacing="0" w:after="0" w:afterAutospacing="0"/>
              <w:jc w:val="right"/>
              <w:textAlignment w:val="center"/>
              <w:rPr>
                <w:color w:val="000000"/>
                <w:kern w:val="24"/>
                <w:sz w:val="26"/>
                <w:szCs w:val="26"/>
              </w:rPr>
            </w:pPr>
            <w:r>
              <w:rPr>
                <w:color w:val="000000"/>
                <w:kern w:val="24"/>
                <w:sz w:val="26"/>
                <w:szCs w:val="26"/>
              </w:rPr>
              <w:t>Dự kiến mức chi trả cổ tức năm 2016</w:t>
            </w:r>
          </w:p>
        </w:tc>
        <w:tc>
          <w:tcPr>
            <w:tcW w:w="3694" w:type="dxa"/>
            <w:vAlign w:val="center"/>
          </w:tcPr>
          <w:p w:rsidR="00F532F6" w:rsidRDefault="007E5FD3" w:rsidP="006765DE">
            <w:pPr>
              <w:pStyle w:val="NormalWeb"/>
              <w:spacing w:before="0" w:beforeAutospacing="0" w:after="0" w:afterAutospacing="0"/>
              <w:jc w:val="right"/>
              <w:textAlignment w:val="center"/>
              <w:rPr>
                <w:sz w:val="26"/>
                <w:szCs w:val="26"/>
              </w:rPr>
            </w:pPr>
            <w:r>
              <w:rPr>
                <w:sz w:val="26"/>
                <w:szCs w:val="26"/>
              </w:rPr>
              <w:t>10-15</w:t>
            </w:r>
            <w:r w:rsidR="00F532F6">
              <w:rPr>
                <w:sz w:val="26"/>
                <w:szCs w:val="26"/>
              </w:rPr>
              <w:t>%/cổ phần</w:t>
            </w:r>
            <w:r>
              <w:rPr>
                <w:sz w:val="26"/>
                <w:szCs w:val="26"/>
              </w:rPr>
              <w:t xml:space="preserve"> (bằng tiền mặt)</w:t>
            </w:r>
          </w:p>
        </w:tc>
      </w:tr>
    </w:tbl>
    <w:p w:rsidR="00C76E6E" w:rsidRDefault="00C76E6E" w:rsidP="00C76E6E">
      <w:pPr>
        <w:pStyle w:val="ListParagraph"/>
        <w:spacing w:before="120" w:after="120" w:line="348" w:lineRule="auto"/>
        <w:ind w:left="900"/>
        <w:jc w:val="both"/>
        <w:rPr>
          <w:sz w:val="26"/>
        </w:rPr>
      </w:pPr>
      <w:r>
        <w:rPr>
          <w:sz w:val="26"/>
        </w:rPr>
        <w:t xml:space="preserve">Một số kế hoạch cơ bản: </w:t>
      </w:r>
    </w:p>
    <w:p w:rsidR="00335CD3" w:rsidRDefault="00D16EF0" w:rsidP="00061EC4">
      <w:pPr>
        <w:pStyle w:val="ListParagraph"/>
        <w:numPr>
          <w:ilvl w:val="0"/>
          <w:numId w:val="21"/>
        </w:numPr>
        <w:spacing w:after="200" w:line="360" w:lineRule="auto"/>
        <w:jc w:val="both"/>
        <w:rPr>
          <w:sz w:val="26"/>
        </w:rPr>
      </w:pPr>
      <w:r w:rsidRPr="00C85D1B">
        <w:rPr>
          <w:sz w:val="26"/>
        </w:rPr>
        <w:t xml:space="preserve">Thực hiện </w:t>
      </w:r>
      <w:r w:rsidR="00061EC4">
        <w:rPr>
          <w:sz w:val="26"/>
        </w:rPr>
        <w:t>hoàn th</w:t>
      </w:r>
      <w:r w:rsidR="00061EC4" w:rsidRPr="00061EC4">
        <w:rPr>
          <w:sz w:val="26"/>
        </w:rPr>
        <w:t>ành</w:t>
      </w:r>
      <w:r w:rsidRPr="00C85D1B">
        <w:rPr>
          <w:sz w:val="26"/>
        </w:rPr>
        <w:t xml:space="preserve"> xây dựng Nhà máy sản xuất số 6</w:t>
      </w:r>
      <w:r>
        <w:rPr>
          <w:sz w:val="26"/>
        </w:rPr>
        <w:t>.</w:t>
      </w:r>
    </w:p>
    <w:p w:rsidR="00061EC4" w:rsidRDefault="00061EC4" w:rsidP="00061EC4">
      <w:pPr>
        <w:pStyle w:val="ListParagraph"/>
        <w:numPr>
          <w:ilvl w:val="0"/>
          <w:numId w:val="21"/>
        </w:numPr>
        <w:spacing w:after="200" w:line="360" w:lineRule="auto"/>
        <w:jc w:val="both"/>
        <w:rPr>
          <w:sz w:val="26"/>
        </w:rPr>
      </w:pPr>
      <w:r>
        <w:rPr>
          <w:sz w:val="26"/>
        </w:rPr>
        <w:t>Tri</w:t>
      </w:r>
      <w:r w:rsidRPr="00061EC4">
        <w:rPr>
          <w:sz w:val="26"/>
        </w:rPr>
        <w:t>ể</w:t>
      </w:r>
      <w:r>
        <w:rPr>
          <w:sz w:val="26"/>
        </w:rPr>
        <w:t>n khai x</w:t>
      </w:r>
      <w:r w:rsidRPr="00061EC4">
        <w:rPr>
          <w:sz w:val="26"/>
        </w:rPr>
        <w:t>â</w:t>
      </w:r>
      <w:r>
        <w:rPr>
          <w:sz w:val="26"/>
        </w:rPr>
        <w:t>y d</w:t>
      </w:r>
      <w:r w:rsidRPr="00061EC4">
        <w:rPr>
          <w:sz w:val="26"/>
        </w:rPr>
        <w:t>ựng</w:t>
      </w:r>
      <w:r>
        <w:rPr>
          <w:sz w:val="26"/>
        </w:rPr>
        <w:t xml:space="preserve"> Nh</w:t>
      </w:r>
      <w:r w:rsidRPr="00061EC4">
        <w:rPr>
          <w:sz w:val="26"/>
        </w:rPr>
        <w:t>à</w:t>
      </w:r>
      <w:r>
        <w:rPr>
          <w:sz w:val="26"/>
        </w:rPr>
        <w:t xml:space="preserve"> m</w:t>
      </w:r>
      <w:r w:rsidRPr="00061EC4">
        <w:rPr>
          <w:sz w:val="26"/>
        </w:rPr>
        <w:t>á</w:t>
      </w:r>
      <w:r>
        <w:rPr>
          <w:sz w:val="26"/>
        </w:rPr>
        <w:t>y s</w:t>
      </w:r>
      <w:r w:rsidRPr="00061EC4">
        <w:rPr>
          <w:sz w:val="26"/>
        </w:rPr>
        <w:t>ả</w:t>
      </w:r>
      <w:r>
        <w:rPr>
          <w:sz w:val="26"/>
        </w:rPr>
        <w:t>n xu</w:t>
      </w:r>
      <w:r w:rsidRPr="00061EC4">
        <w:rPr>
          <w:sz w:val="26"/>
        </w:rPr>
        <w:t>ất</w:t>
      </w:r>
      <w:r>
        <w:rPr>
          <w:sz w:val="26"/>
        </w:rPr>
        <w:t xml:space="preserve"> s</w:t>
      </w:r>
      <w:r w:rsidRPr="00061EC4">
        <w:rPr>
          <w:sz w:val="26"/>
        </w:rPr>
        <w:t>ố</w:t>
      </w:r>
      <w:r>
        <w:rPr>
          <w:sz w:val="26"/>
        </w:rPr>
        <w:t xml:space="preserve"> 7</w:t>
      </w:r>
    </w:p>
    <w:p w:rsidR="00AE3DBD" w:rsidRPr="00061EC4" w:rsidRDefault="00AE3DBD" w:rsidP="00061EC4">
      <w:pPr>
        <w:pStyle w:val="ListParagraph"/>
        <w:numPr>
          <w:ilvl w:val="0"/>
          <w:numId w:val="21"/>
        </w:numPr>
        <w:spacing w:after="200" w:line="360" w:lineRule="auto"/>
        <w:jc w:val="both"/>
        <w:rPr>
          <w:sz w:val="26"/>
        </w:rPr>
      </w:pPr>
      <w:r w:rsidRPr="00061EC4">
        <w:rPr>
          <w:sz w:val="26"/>
        </w:rPr>
        <w:t>Hoàn thành các công tác khác trong kế hoạch phát triển công ty.</w:t>
      </w:r>
    </w:p>
    <w:p w:rsidR="004724AA" w:rsidRPr="00707332" w:rsidRDefault="00BB0357" w:rsidP="00B03F89">
      <w:pPr>
        <w:pStyle w:val="ListParagraph"/>
        <w:numPr>
          <w:ilvl w:val="0"/>
          <w:numId w:val="3"/>
        </w:numPr>
        <w:tabs>
          <w:tab w:val="clear" w:pos="1080"/>
          <w:tab w:val="num" w:pos="540"/>
        </w:tabs>
        <w:spacing w:before="120" w:after="120" w:line="348" w:lineRule="auto"/>
        <w:ind w:left="180" w:hanging="180"/>
        <w:jc w:val="both"/>
        <w:rPr>
          <w:sz w:val="26"/>
        </w:rPr>
      </w:pPr>
      <w:r w:rsidRPr="00707332">
        <w:rPr>
          <w:b/>
          <w:sz w:val="26"/>
          <w:szCs w:val="26"/>
          <w:lang w:val="fr-FR"/>
        </w:rPr>
        <w:t xml:space="preserve">Phê duyệt việc duyệt chi các Quỹ được trích lập </w:t>
      </w:r>
      <w:r w:rsidR="00BB681C">
        <w:rPr>
          <w:b/>
          <w:sz w:val="26"/>
          <w:szCs w:val="26"/>
          <w:lang w:val="fr-FR"/>
        </w:rPr>
        <w:t xml:space="preserve">từ lợi nhuận </w:t>
      </w:r>
      <w:r w:rsidR="00C2566F">
        <w:rPr>
          <w:b/>
          <w:sz w:val="26"/>
          <w:szCs w:val="26"/>
          <w:lang w:val="fr-FR"/>
        </w:rPr>
        <w:t>năm 201</w:t>
      </w:r>
      <w:r w:rsidR="0061713F">
        <w:rPr>
          <w:b/>
          <w:sz w:val="26"/>
          <w:szCs w:val="26"/>
          <w:lang w:val="fr-FR"/>
        </w:rPr>
        <w:t>4</w:t>
      </w:r>
      <w:r w:rsidR="0058765E" w:rsidRPr="00707332">
        <w:rPr>
          <w:b/>
          <w:sz w:val="26"/>
          <w:szCs w:val="26"/>
          <w:lang w:val="fr-FR"/>
        </w:rPr>
        <w:t xml:space="preserve"> </w:t>
      </w:r>
      <w:r w:rsidR="00335CD3">
        <w:rPr>
          <w:b/>
          <w:sz w:val="26"/>
          <w:szCs w:val="26"/>
          <w:lang w:val="fr-FR"/>
        </w:rPr>
        <w:t>sử dụng trong năm 201</w:t>
      </w:r>
      <w:r w:rsidR="0061713F">
        <w:rPr>
          <w:b/>
          <w:sz w:val="26"/>
          <w:szCs w:val="26"/>
          <w:lang w:val="fr-FR"/>
        </w:rPr>
        <w:t>5</w:t>
      </w:r>
    </w:p>
    <w:p w:rsidR="00384435" w:rsidRDefault="0027364B" w:rsidP="0044344D">
      <w:pPr>
        <w:spacing w:line="360" w:lineRule="auto"/>
        <w:jc w:val="both"/>
        <w:rPr>
          <w:sz w:val="26"/>
        </w:rPr>
      </w:pPr>
      <w:r>
        <w:rPr>
          <w:sz w:val="26"/>
        </w:rPr>
        <w:tab/>
      </w:r>
      <w:r w:rsidR="0049683B" w:rsidRPr="004724AA">
        <w:rPr>
          <w:sz w:val="26"/>
        </w:rPr>
        <w:t>Theo quy định của Luật doanh nghiệp và Điều lệ công ty, hàng năm Công ty sẽ trích lập các Quỹ dự trữ tài chính, Quỹ đầu tư phát triển và Quỹ dự trữ vốn Điều lệ, Quỹ khen thưởng phúc lợi. Các Quỹ này được sử dụng cho các mục đích khác nhau theo tình hình thực tế tại công ty, từ năm 2007 đến nay, Hội đồng quản trị công ty đã sử dụng các Quỹ này rất có hiệu quả trong quá trình điều hành công ty. Tuy nhiên, để hợp lệ và thuận lợi trong quá trình theo dõi sổ sách, số liệu, báo cáo cho các cơ quan chức năng, Hội đồng quản trị đề nghị Quý cổ đông công ty phê duyệt việc chi từ các Quỹ được trích lập năm 201</w:t>
      </w:r>
      <w:r w:rsidR="00FC3C0B">
        <w:rPr>
          <w:sz w:val="26"/>
        </w:rPr>
        <w:t>4</w:t>
      </w:r>
      <w:r w:rsidR="00C02A54">
        <w:rPr>
          <w:sz w:val="26"/>
        </w:rPr>
        <w:t xml:space="preserve"> đã chi cho các khoản mục trong năm 201</w:t>
      </w:r>
      <w:r w:rsidR="0061713F">
        <w:rPr>
          <w:sz w:val="26"/>
        </w:rPr>
        <w:t>5</w:t>
      </w:r>
      <w:r w:rsidR="0049683B" w:rsidRPr="004724AA">
        <w:rPr>
          <w:sz w:val="26"/>
        </w:rPr>
        <w:t>, cụ thể như sau:</w:t>
      </w:r>
    </w:p>
    <w:p w:rsidR="00384435" w:rsidRDefault="00384435" w:rsidP="00384435">
      <w:pPr>
        <w:spacing w:line="360" w:lineRule="auto"/>
        <w:jc w:val="right"/>
        <w:rPr>
          <w:bCs/>
          <w:i/>
          <w:szCs w:val="26"/>
        </w:rPr>
      </w:pPr>
      <w:r w:rsidRPr="002912C1">
        <w:rPr>
          <w:bCs/>
          <w:i/>
          <w:szCs w:val="26"/>
        </w:rPr>
        <w:t>Đơn vị tính: Đồng</w:t>
      </w:r>
    </w:p>
    <w:tbl>
      <w:tblPr>
        <w:tblW w:w="9275" w:type="dxa"/>
        <w:tblLook w:val="04A0" w:firstRow="1" w:lastRow="0" w:firstColumn="1" w:lastColumn="0" w:noHBand="0" w:noVBand="1"/>
      </w:tblPr>
      <w:tblGrid>
        <w:gridCol w:w="3762"/>
        <w:gridCol w:w="2309"/>
        <w:gridCol w:w="3204"/>
      </w:tblGrid>
      <w:tr w:rsidR="00CB13CF" w:rsidRPr="00BF15F2" w:rsidTr="006C07C3">
        <w:trPr>
          <w:trHeight w:val="375"/>
        </w:trPr>
        <w:tc>
          <w:tcPr>
            <w:tcW w:w="37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B13CF" w:rsidRPr="003A10B2" w:rsidRDefault="00CB13CF" w:rsidP="006C07C3">
            <w:pPr>
              <w:jc w:val="center"/>
              <w:rPr>
                <w:b/>
                <w:bCs/>
                <w:color w:val="000000"/>
              </w:rPr>
            </w:pPr>
            <w:r w:rsidRPr="003A10B2">
              <w:rPr>
                <w:b/>
                <w:bCs/>
                <w:color w:val="000000"/>
              </w:rPr>
              <w:t>QUỸ</w:t>
            </w:r>
          </w:p>
        </w:tc>
        <w:tc>
          <w:tcPr>
            <w:tcW w:w="2309" w:type="dxa"/>
            <w:tcBorders>
              <w:top w:val="single" w:sz="8" w:space="0" w:color="auto"/>
              <w:left w:val="nil"/>
              <w:bottom w:val="nil"/>
              <w:right w:val="single" w:sz="8" w:space="0" w:color="auto"/>
            </w:tcBorders>
            <w:shd w:val="clear" w:color="auto" w:fill="auto"/>
            <w:noWrap/>
            <w:vAlign w:val="center"/>
            <w:hideMark/>
          </w:tcPr>
          <w:p w:rsidR="00CB13CF" w:rsidRPr="003A10B2" w:rsidRDefault="00CB13CF" w:rsidP="006C07C3">
            <w:pPr>
              <w:jc w:val="center"/>
              <w:rPr>
                <w:b/>
                <w:bCs/>
                <w:color w:val="000000"/>
              </w:rPr>
            </w:pPr>
            <w:r w:rsidRPr="003A10B2">
              <w:rPr>
                <w:b/>
                <w:bCs/>
                <w:color w:val="000000"/>
              </w:rPr>
              <w:t>SỐ TIỀN</w:t>
            </w:r>
          </w:p>
        </w:tc>
        <w:tc>
          <w:tcPr>
            <w:tcW w:w="32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B13CF" w:rsidRPr="003A10B2" w:rsidRDefault="00CB13CF" w:rsidP="006C07C3">
            <w:pPr>
              <w:jc w:val="center"/>
              <w:rPr>
                <w:b/>
                <w:bCs/>
                <w:color w:val="000000"/>
              </w:rPr>
            </w:pPr>
            <w:r w:rsidRPr="003A10B2">
              <w:rPr>
                <w:b/>
                <w:bCs/>
                <w:color w:val="000000"/>
              </w:rPr>
              <w:t>SỐ DƯ ĐẾN 31/12/2015</w:t>
            </w:r>
          </w:p>
        </w:tc>
      </w:tr>
      <w:tr w:rsidR="00CB13CF" w:rsidRPr="00BF15F2" w:rsidTr="00942A7F">
        <w:trPr>
          <w:trHeight w:val="82"/>
        </w:trPr>
        <w:tc>
          <w:tcPr>
            <w:tcW w:w="3762" w:type="dxa"/>
            <w:vMerge/>
            <w:tcBorders>
              <w:top w:val="single" w:sz="8" w:space="0" w:color="auto"/>
              <w:left w:val="single" w:sz="8" w:space="0" w:color="auto"/>
              <w:bottom w:val="single" w:sz="8" w:space="0" w:color="000000"/>
              <w:right w:val="single" w:sz="8" w:space="0" w:color="auto"/>
            </w:tcBorders>
            <w:vAlign w:val="center"/>
            <w:hideMark/>
          </w:tcPr>
          <w:p w:rsidR="00CB13CF" w:rsidRPr="003A10B2" w:rsidRDefault="00CB13CF" w:rsidP="006C07C3">
            <w:pPr>
              <w:jc w:val="center"/>
              <w:rPr>
                <w:b/>
                <w:bCs/>
                <w:color w:val="000000"/>
              </w:rPr>
            </w:pPr>
          </w:p>
        </w:tc>
        <w:tc>
          <w:tcPr>
            <w:tcW w:w="2309" w:type="dxa"/>
            <w:tcBorders>
              <w:top w:val="nil"/>
              <w:left w:val="nil"/>
              <w:bottom w:val="single" w:sz="8" w:space="0" w:color="auto"/>
              <w:right w:val="single" w:sz="8" w:space="0" w:color="auto"/>
            </w:tcBorders>
            <w:shd w:val="clear" w:color="auto" w:fill="auto"/>
            <w:noWrap/>
            <w:vAlign w:val="center"/>
            <w:hideMark/>
          </w:tcPr>
          <w:p w:rsidR="00CB13CF" w:rsidRPr="003A10B2" w:rsidRDefault="00CB13CF" w:rsidP="006C07C3">
            <w:pPr>
              <w:jc w:val="center"/>
              <w:rPr>
                <w:b/>
                <w:bCs/>
                <w:color w:val="000000"/>
              </w:rPr>
            </w:pPr>
            <w:r w:rsidRPr="003A10B2">
              <w:rPr>
                <w:b/>
                <w:bCs/>
                <w:color w:val="000000"/>
              </w:rPr>
              <w:t>ĐÃ CHI</w:t>
            </w:r>
          </w:p>
        </w:tc>
        <w:tc>
          <w:tcPr>
            <w:tcW w:w="3204" w:type="dxa"/>
            <w:vMerge/>
            <w:tcBorders>
              <w:top w:val="single" w:sz="8" w:space="0" w:color="auto"/>
              <w:left w:val="single" w:sz="8" w:space="0" w:color="auto"/>
              <w:bottom w:val="single" w:sz="8" w:space="0" w:color="000000"/>
              <w:right w:val="single" w:sz="8" w:space="0" w:color="auto"/>
            </w:tcBorders>
            <w:vAlign w:val="center"/>
            <w:hideMark/>
          </w:tcPr>
          <w:p w:rsidR="00CB13CF" w:rsidRPr="003A10B2" w:rsidRDefault="00CB13CF" w:rsidP="006C07C3">
            <w:pPr>
              <w:jc w:val="center"/>
              <w:rPr>
                <w:b/>
                <w:bCs/>
                <w:color w:val="000000"/>
              </w:rPr>
            </w:pPr>
          </w:p>
        </w:tc>
      </w:tr>
      <w:tr w:rsidR="00CB13CF" w:rsidRPr="00BF15F2" w:rsidTr="006C07C3">
        <w:trPr>
          <w:trHeight w:val="375"/>
        </w:trPr>
        <w:tc>
          <w:tcPr>
            <w:tcW w:w="37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B13CF" w:rsidRPr="003A10B2" w:rsidRDefault="00CB13CF" w:rsidP="006C07C3">
            <w:pPr>
              <w:rPr>
                <w:color w:val="000000"/>
              </w:rPr>
            </w:pPr>
            <w:r w:rsidRPr="003A10B2">
              <w:rPr>
                <w:color w:val="000000"/>
              </w:rPr>
              <w:t>Quỹ đầu tư phát triển</w:t>
            </w:r>
          </w:p>
        </w:tc>
        <w:tc>
          <w:tcPr>
            <w:tcW w:w="2309" w:type="dxa"/>
            <w:vMerge w:val="restart"/>
            <w:tcBorders>
              <w:top w:val="nil"/>
              <w:left w:val="single" w:sz="8" w:space="0" w:color="auto"/>
              <w:bottom w:val="single" w:sz="8" w:space="0" w:color="000000"/>
              <w:right w:val="single" w:sz="8" w:space="0" w:color="auto"/>
            </w:tcBorders>
            <w:shd w:val="clear" w:color="auto" w:fill="auto"/>
            <w:noWrap/>
            <w:vAlign w:val="center"/>
          </w:tcPr>
          <w:p w:rsidR="00CB13CF" w:rsidRPr="003A10B2" w:rsidRDefault="00CB13CF" w:rsidP="006C07C3">
            <w:pPr>
              <w:jc w:val="right"/>
              <w:rPr>
                <w:color w:val="000000"/>
              </w:rPr>
            </w:pPr>
          </w:p>
        </w:tc>
        <w:tc>
          <w:tcPr>
            <w:tcW w:w="3204" w:type="dxa"/>
            <w:vMerge w:val="restart"/>
            <w:tcBorders>
              <w:top w:val="nil"/>
              <w:left w:val="single" w:sz="8" w:space="0" w:color="auto"/>
              <w:bottom w:val="single" w:sz="8" w:space="0" w:color="000000"/>
              <w:right w:val="single" w:sz="8" w:space="0" w:color="auto"/>
            </w:tcBorders>
            <w:shd w:val="clear" w:color="auto" w:fill="auto"/>
            <w:noWrap/>
            <w:vAlign w:val="center"/>
          </w:tcPr>
          <w:p w:rsidR="00CB13CF" w:rsidRPr="003A10B2" w:rsidRDefault="00CB13CF" w:rsidP="006C07C3">
            <w:pPr>
              <w:jc w:val="right"/>
              <w:rPr>
                <w:color w:val="000000"/>
              </w:rPr>
            </w:pPr>
            <w:r w:rsidRPr="003A10B2">
              <w:rPr>
                <w:color w:val="000000"/>
              </w:rPr>
              <w:t>31,886,168,760</w:t>
            </w:r>
          </w:p>
        </w:tc>
      </w:tr>
      <w:tr w:rsidR="00CB13CF" w:rsidRPr="00BF15F2" w:rsidTr="00942A7F">
        <w:trPr>
          <w:trHeight w:val="276"/>
        </w:trPr>
        <w:tc>
          <w:tcPr>
            <w:tcW w:w="3762" w:type="dxa"/>
            <w:vMerge/>
            <w:tcBorders>
              <w:top w:val="nil"/>
              <w:left w:val="single" w:sz="8" w:space="0" w:color="auto"/>
              <w:bottom w:val="single" w:sz="8" w:space="0" w:color="000000"/>
              <w:right w:val="single" w:sz="8" w:space="0" w:color="auto"/>
            </w:tcBorders>
            <w:vAlign w:val="center"/>
            <w:hideMark/>
          </w:tcPr>
          <w:p w:rsidR="00CB13CF" w:rsidRPr="003A10B2" w:rsidRDefault="00CB13CF" w:rsidP="006C07C3">
            <w:pPr>
              <w:rPr>
                <w:color w:val="000000"/>
              </w:rPr>
            </w:pPr>
          </w:p>
        </w:tc>
        <w:tc>
          <w:tcPr>
            <w:tcW w:w="2309" w:type="dxa"/>
            <w:vMerge/>
            <w:tcBorders>
              <w:top w:val="nil"/>
              <w:left w:val="single" w:sz="8" w:space="0" w:color="auto"/>
              <w:bottom w:val="single" w:sz="8" w:space="0" w:color="000000"/>
              <w:right w:val="single" w:sz="8" w:space="0" w:color="auto"/>
            </w:tcBorders>
            <w:vAlign w:val="center"/>
          </w:tcPr>
          <w:p w:rsidR="00CB13CF" w:rsidRPr="003A10B2" w:rsidRDefault="00CB13CF" w:rsidP="006C07C3">
            <w:pPr>
              <w:jc w:val="right"/>
              <w:rPr>
                <w:color w:val="000000"/>
              </w:rPr>
            </w:pPr>
          </w:p>
        </w:tc>
        <w:tc>
          <w:tcPr>
            <w:tcW w:w="3204" w:type="dxa"/>
            <w:vMerge/>
            <w:tcBorders>
              <w:top w:val="nil"/>
              <w:left w:val="single" w:sz="8" w:space="0" w:color="auto"/>
              <w:bottom w:val="single" w:sz="8" w:space="0" w:color="000000"/>
              <w:right w:val="single" w:sz="8" w:space="0" w:color="auto"/>
            </w:tcBorders>
            <w:vAlign w:val="center"/>
          </w:tcPr>
          <w:p w:rsidR="00CB13CF" w:rsidRPr="003A10B2" w:rsidRDefault="00CB13CF" w:rsidP="006C07C3">
            <w:pPr>
              <w:jc w:val="right"/>
              <w:rPr>
                <w:color w:val="000000"/>
              </w:rPr>
            </w:pPr>
          </w:p>
        </w:tc>
      </w:tr>
      <w:tr w:rsidR="00CB13CF" w:rsidRPr="00BF15F2" w:rsidTr="006C07C3">
        <w:trPr>
          <w:trHeight w:val="375"/>
        </w:trPr>
        <w:tc>
          <w:tcPr>
            <w:tcW w:w="37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B13CF" w:rsidRPr="003A10B2" w:rsidRDefault="00CB13CF" w:rsidP="006C07C3">
            <w:pPr>
              <w:rPr>
                <w:color w:val="000000"/>
              </w:rPr>
            </w:pPr>
            <w:r w:rsidRPr="003A10B2">
              <w:rPr>
                <w:color w:val="000000"/>
              </w:rPr>
              <w:t>Quỹ dự trữ  bổ sung vốn điều lệ</w:t>
            </w:r>
          </w:p>
        </w:tc>
        <w:tc>
          <w:tcPr>
            <w:tcW w:w="2309" w:type="dxa"/>
            <w:vMerge w:val="restart"/>
            <w:tcBorders>
              <w:top w:val="nil"/>
              <w:left w:val="single" w:sz="8" w:space="0" w:color="auto"/>
              <w:bottom w:val="single" w:sz="8" w:space="0" w:color="000000"/>
              <w:right w:val="single" w:sz="8" w:space="0" w:color="auto"/>
            </w:tcBorders>
            <w:shd w:val="clear" w:color="auto" w:fill="auto"/>
            <w:noWrap/>
            <w:vAlign w:val="center"/>
          </w:tcPr>
          <w:p w:rsidR="00CB13CF" w:rsidRPr="003A10B2" w:rsidRDefault="00CB13CF" w:rsidP="006C07C3">
            <w:pPr>
              <w:jc w:val="right"/>
              <w:rPr>
                <w:color w:val="000000"/>
              </w:rPr>
            </w:pPr>
          </w:p>
        </w:tc>
        <w:tc>
          <w:tcPr>
            <w:tcW w:w="3204" w:type="dxa"/>
            <w:vMerge w:val="restart"/>
            <w:tcBorders>
              <w:top w:val="nil"/>
              <w:left w:val="single" w:sz="8" w:space="0" w:color="auto"/>
              <w:bottom w:val="single" w:sz="8" w:space="0" w:color="000000"/>
              <w:right w:val="single" w:sz="8" w:space="0" w:color="auto"/>
            </w:tcBorders>
            <w:shd w:val="clear" w:color="auto" w:fill="auto"/>
            <w:noWrap/>
            <w:vAlign w:val="center"/>
          </w:tcPr>
          <w:p w:rsidR="00CB13CF" w:rsidRPr="003A10B2" w:rsidRDefault="00CB13CF" w:rsidP="006C07C3">
            <w:pPr>
              <w:jc w:val="right"/>
              <w:rPr>
                <w:color w:val="000000"/>
              </w:rPr>
            </w:pPr>
            <w:r w:rsidRPr="003A10B2">
              <w:rPr>
                <w:color w:val="000000"/>
              </w:rPr>
              <w:t>11,612,477,781</w:t>
            </w:r>
          </w:p>
        </w:tc>
      </w:tr>
      <w:tr w:rsidR="00CB13CF" w:rsidRPr="00BF15F2" w:rsidTr="00942A7F">
        <w:trPr>
          <w:trHeight w:val="276"/>
        </w:trPr>
        <w:tc>
          <w:tcPr>
            <w:tcW w:w="3762" w:type="dxa"/>
            <w:vMerge/>
            <w:tcBorders>
              <w:top w:val="nil"/>
              <w:left w:val="single" w:sz="8" w:space="0" w:color="auto"/>
              <w:bottom w:val="single" w:sz="8" w:space="0" w:color="000000"/>
              <w:right w:val="single" w:sz="8" w:space="0" w:color="auto"/>
            </w:tcBorders>
            <w:vAlign w:val="center"/>
            <w:hideMark/>
          </w:tcPr>
          <w:p w:rsidR="00CB13CF" w:rsidRPr="003A10B2" w:rsidRDefault="00CB13CF" w:rsidP="006C07C3">
            <w:pPr>
              <w:rPr>
                <w:color w:val="000000"/>
              </w:rPr>
            </w:pPr>
          </w:p>
        </w:tc>
        <w:tc>
          <w:tcPr>
            <w:tcW w:w="2309" w:type="dxa"/>
            <w:vMerge/>
            <w:tcBorders>
              <w:top w:val="nil"/>
              <w:left w:val="single" w:sz="8" w:space="0" w:color="auto"/>
              <w:bottom w:val="single" w:sz="8" w:space="0" w:color="000000"/>
              <w:right w:val="single" w:sz="8" w:space="0" w:color="auto"/>
            </w:tcBorders>
            <w:vAlign w:val="center"/>
          </w:tcPr>
          <w:p w:rsidR="00CB13CF" w:rsidRPr="003A10B2" w:rsidRDefault="00CB13CF" w:rsidP="006C07C3">
            <w:pPr>
              <w:jc w:val="right"/>
              <w:rPr>
                <w:color w:val="000000"/>
              </w:rPr>
            </w:pPr>
          </w:p>
        </w:tc>
        <w:tc>
          <w:tcPr>
            <w:tcW w:w="3204" w:type="dxa"/>
            <w:vMerge/>
            <w:tcBorders>
              <w:top w:val="nil"/>
              <w:left w:val="single" w:sz="8" w:space="0" w:color="auto"/>
              <w:bottom w:val="single" w:sz="8" w:space="0" w:color="000000"/>
              <w:right w:val="single" w:sz="8" w:space="0" w:color="auto"/>
            </w:tcBorders>
            <w:vAlign w:val="center"/>
          </w:tcPr>
          <w:p w:rsidR="00CB13CF" w:rsidRPr="003A10B2" w:rsidRDefault="00CB13CF" w:rsidP="006C07C3">
            <w:pPr>
              <w:jc w:val="right"/>
              <w:rPr>
                <w:color w:val="000000"/>
              </w:rPr>
            </w:pPr>
          </w:p>
        </w:tc>
      </w:tr>
      <w:tr w:rsidR="00CB13CF" w:rsidRPr="00BF15F2" w:rsidTr="006C07C3">
        <w:trPr>
          <w:trHeight w:val="547"/>
        </w:trPr>
        <w:tc>
          <w:tcPr>
            <w:tcW w:w="3762" w:type="dxa"/>
            <w:tcBorders>
              <w:top w:val="nil"/>
              <w:left w:val="single" w:sz="8" w:space="0" w:color="auto"/>
              <w:bottom w:val="single" w:sz="8" w:space="0" w:color="auto"/>
              <w:right w:val="single" w:sz="8" w:space="0" w:color="auto"/>
            </w:tcBorders>
            <w:shd w:val="clear" w:color="auto" w:fill="auto"/>
            <w:vAlign w:val="center"/>
            <w:hideMark/>
          </w:tcPr>
          <w:p w:rsidR="00CB13CF" w:rsidRPr="003A10B2" w:rsidRDefault="00CB13CF" w:rsidP="006C07C3">
            <w:pPr>
              <w:rPr>
                <w:color w:val="000000"/>
              </w:rPr>
            </w:pPr>
            <w:r w:rsidRPr="003A10B2">
              <w:rPr>
                <w:color w:val="000000"/>
              </w:rPr>
              <w:t>Quỹ phục vụ công tác điều hành</w:t>
            </w:r>
          </w:p>
        </w:tc>
        <w:tc>
          <w:tcPr>
            <w:tcW w:w="2309" w:type="dxa"/>
            <w:tcBorders>
              <w:top w:val="nil"/>
              <w:left w:val="nil"/>
              <w:bottom w:val="single" w:sz="8" w:space="0" w:color="auto"/>
              <w:right w:val="single" w:sz="8" w:space="0" w:color="auto"/>
            </w:tcBorders>
            <w:shd w:val="clear" w:color="auto" w:fill="auto"/>
            <w:vAlign w:val="center"/>
          </w:tcPr>
          <w:p w:rsidR="00CB13CF" w:rsidRPr="003A10B2" w:rsidRDefault="00CB13CF" w:rsidP="006C07C3">
            <w:pPr>
              <w:jc w:val="right"/>
              <w:rPr>
                <w:color w:val="000000"/>
              </w:rPr>
            </w:pPr>
            <w:r w:rsidRPr="003A10B2">
              <w:rPr>
                <w:color w:val="000000"/>
              </w:rPr>
              <w:t>1,210,068,030</w:t>
            </w:r>
          </w:p>
        </w:tc>
        <w:tc>
          <w:tcPr>
            <w:tcW w:w="3204" w:type="dxa"/>
            <w:tcBorders>
              <w:top w:val="nil"/>
              <w:left w:val="nil"/>
              <w:bottom w:val="single" w:sz="8" w:space="0" w:color="auto"/>
              <w:right w:val="single" w:sz="8" w:space="0" w:color="auto"/>
            </w:tcBorders>
            <w:shd w:val="clear" w:color="auto" w:fill="auto"/>
            <w:vAlign w:val="center"/>
          </w:tcPr>
          <w:p w:rsidR="00CB13CF" w:rsidRPr="003A10B2" w:rsidRDefault="00CB13CF" w:rsidP="006C07C3">
            <w:pPr>
              <w:jc w:val="right"/>
              <w:rPr>
                <w:color w:val="000000"/>
              </w:rPr>
            </w:pPr>
          </w:p>
        </w:tc>
      </w:tr>
      <w:tr w:rsidR="00CB13CF" w:rsidRPr="00BF15F2" w:rsidTr="00942A7F">
        <w:trPr>
          <w:trHeight w:val="441"/>
        </w:trPr>
        <w:tc>
          <w:tcPr>
            <w:tcW w:w="3762" w:type="dxa"/>
            <w:tcBorders>
              <w:top w:val="nil"/>
              <w:left w:val="single" w:sz="8" w:space="0" w:color="auto"/>
              <w:bottom w:val="single" w:sz="8" w:space="0" w:color="auto"/>
              <w:right w:val="single" w:sz="8" w:space="0" w:color="auto"/>
            </w:tcBorders>
            <w:shd w:val="clear" w:color="auto" w:fill="auto"/>
            <w:vAlign w:val="center"/>
            <w:hideMark/>
          </w:tcPr>
          <w:p w:rsidR="00CB13CF" w:rsidRPr="003A10B2" w:rsidRDefault="00CB13CF" w:rsidP="006C07C3">
            <w:pPr>
              <w:rPr>
                <w:color w:val="000000"/>
              </w:rPr>
            </w:pPr>
            <w:r w:rsidRPr="003A10B2">
              <w:rPr>
                <w:color w:val="000000"/>
              </w:rPr>
              <w:t>Quỹ khen thưởng, phúc lợi</w:t>
            </w:r>
          </w:p>
        </w:tc>
        <w:tc>
          <w:tcPr>
            <w:tcW w:w="2309" w:type="dxa"/>
            <w:tcBorders>
              <w:top w:val="nil"/>
              <w:left w:val="nil"/>
              <w:bottom w:val="single" w:sz="8" w:space="0" w:color="auto"/>
              <w:right w:val="single" w:sz="8" w:space="0" w:color="auto"/>
            </w:tcBorders>
            <w:shd w:val="clear" w:color="auto" w:fill="auto"/>
            <w:vAlign w:val="center"/>
          </w:tcPr>
          <w:p w:rsidR="00CB13CF" w:rsidRPr="003A10B2" w:rsidRDefault="00CB13CF" w:rsidP="006C07C3">
            <w:pPr>
              <w:jc w:val="right"/>
              <w:rPr>
                <w:color w:val="000000"/>
              </w:rPr>
            </w:pPr>
            <w:r w:rsidRPr="003A10B2">
              <w:rPr>
                <w:color w:val="000000"/>
              </w:rPr>
              <w:t>4,909,994,106</w:t>
            </w:r>
          </w:p>
        </w:tc>
        <w:tc>
          <w:tcPr>
            <w:tcW w:w="3204" w:type="dxa"/>
            <w:tcBorders>
              <w:top w:val="nil"/>
              <w:left w:val="nil"/>
              <w:bottom w:val="single" w:sz="8" w:space="0" w:color="auto"/>
              <w:right w:val="single" w:sz="8" w:space="0" w:color="auto"/>
            </w:tcBorders>
            <w:shd w:val="clear" w:color="auto" w:fill="auto"/>
            <w:vAlign w:val="center"/>
          </w:tcPr>
          <w:p w:rsidR="00CB13CF" w:rsidRPr="003A10B2" w:rsidRDefault="00CB13CF" w:rsidP="006C07C3">
            <w:pPr>
              <w:jc w:val="right"/>
              <w:rPr>
                <w:color w:val="000000"/>
              </w:rPr>
            </w:pPr>
            <w:r w:rsidRPr="003A10B2">
              <w:rPr>
                <w:color w:val="000000"/>
              </w:rPr>
              <w:t>544,509,708</w:t>
            </w:r>
          </w:p>
        </w:tc>
      </w:tr>
      <w:tr w:rsidR="00CB13CF" w:rsidRPr="00BF15F2" w:rsidTr="006C07C3">
        <w:trPr>
          <w:trHeight w:val="520"/>
        </w:trPr>
        <w:tc>
          <w:tcPr>
            <w:tcW w:w="3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3CF" w:rsidRPr="003A10B2" w:rsidRDefault="00CB13CF" w:rsidP="006C07C3">
            <w:pPr>
              <w:jc w:val="center"/>
              <w:rPr>
                <w:b/>
                <w:bCs/>
                <w:color w:val="000000"/>
              </w:rPr>
            </w:pPr>
            <w:r w:rsidRPr="003A10B2">
              <w:rPr>
                <w:b/>
                <w:bCs/>
                <w:color w:val="000000"/>
              </w:rPr>
              <w:t>Tổng</w:t>
            </w:r>
          </w:p>
        </w:tc>
        <w:tc>
          <w:tcPr>
            <w:tcW w:w="2309" w:type="dxa"/>
            <w:tcBorders>
              <w:top w:val="nil"/>
              <w:left w:val="single" w:sz="4" w:space="0" w:color="auto"/>
              <w:bottom w:val="single" w:sz="8" w:space="0" w:color="000000"/>
              <w:right w:val="single" w:sz="8" w:space="0" w:color="auto"/>
            </w:tcBorders>
            <w:shd w:val="clear" w:color="auto" w:fill="auto"/>
            <w:vAlign w:val="center"/>
          </w:tcPr>
          <w:p w:rsidR="00CB13CF" w:rsidRPr="003A10B2" w:rsidRDefault="00CB13CF" w:rsidP="006C07C3">
            <w:pPr>
              <w:jc w:val="right"/>
              <w:rPr>
                <w:b/>
                <w:color w:val="000000"/>
              </w:rPr>
            </w:pPr>
            <w:r w:rsidRPr="003A10B2">
              <w:rPr>
                <w:b/>
                <w:color w:val="000000"/>
              </w:rPr>
              <w:t>6,120,062,136</w:t>
            </w:r>
          </w:p>
        </w:tc>
        <w:tc>
          <w:tcPr>
            <w:tcW w:w="3204" w:type="dxa"/>
            <w:tcBorders>
              <w:top w:val="nil"/>
              <w:left w:val="single" w:sz="8" w:space="0" w:color="auto"/>
              <w:bottom w:val="single" w:sz="8" w:space="0" w:color="000000"/>
              <w:right w:val="single" w:sz="8" w:space="0" w:color="auto"/>
            </w:tcBorders>
            <w:shd w:val="clear" w:color="auto" w:fill="auto"/>
            <w:vAlign w:val="center"/>
          </w:tcPr>
          <w:p w:rsidR="00CB13CF" w:rsidRPr="003A10B2" w:rsidRDefault="00CB13CF" w:rsidP="006C07C3">
            <w:pPr>
              <w:jc w:val="right"/>
              <w:rPr>
                <w:b/>
                <w:color w:val="000000"/>
              </w:rPr>
            </w:pPr>
            <w:r w:rsidRPr="003A10B2">
              <w:rPr>
                <w:b/>
                <w:color w:val="000000"/>
              </w:rPr>
              <w:t>44,043,156,249</w:t>
            </w:r>
          </w:p>
        </w:tc>
      </w:tr>
    </w:tbl>
    <w:p w:rsidR="00202B94" w:rsidRDefault="00202B94" w:rsidP="00202B94">
      <w:pPr>
        <w:pStyle w:val="ListParagraph"/>
        <w:spacing w:before="120" w:after="120" w:line="348" w:lineRule="auto"/>
        <w:ind w:left="1080"/>
        <w:jc w:val="both"/>
        <w:rPr>
          <w:b/>
          <w:sz w:val="26"/>
        </w:rPr>
      </w:pPr>
    </w:p>
    <w:p w:rsidR="005E3C2F" w:rsidRDefault="00C269D8" w:rsidP="00B03F89">
      <w:pPr>
        <w:pStyle w:val="ListParagraph"/>
        <w:numPr>
          <w:ilvl w:val="0"/>
          <w:numId w:val="3"/>
        </w:numPr>
        <w:spacing w:before="120" w:after="120" w:line="348" w:lineRule="auto"/>
        <w:jc w:val="both"/>
        <w:rPr>
          <w:b/>
          <w:sz w:val="26"/>
        </w:rPr>
      </w:pPr>
      <w:r>
        <w:rPr>
          <w:b/>
          <w:sz w:val="26"/>
        </w:rPr>
        <w:lastRenderedPageBreak/>
        <w:t xml:space="preserve">Thông qua </w:t>
      </w:r>
      <w:r w:rsidR="0061713F">
        <w:rPr>
          <w:b/>
          <w:sz w:val="26"/>
        </w:rPr>
        <w:t xml:space="preserve">phương án phát hành cổ phiếu thưởng cho cán bộ công nhân viên công ty </w:t>
      </w:r>
    </w:p>
    <w:p w:rsidR="0061713F" w:rsidRDefault="0061713F" w:rsidP="0091788F">
      <w:pPr>
        <w:pStyle w:val="ListParagraph"/>
        <w:spacing w:before="120" w:after="120" w:line="348" w:lineRule="auto"/>
        <w:ind w:left="-90" w:firstLine="232"/>
        <w:jc w:val="both"/>
        <w:rPr>
          <w:sz w:val="26"/>
        </w:rPr>
      </w:pPr>
      <w:r>
        <w:rPr>
          <w:sz w:val="26"/>
        </w:rPr>
        <w:t>Công ty Cổ phần Nhựa và Môi trường xanh An Phát được thành lập từ năm 200</w:t>
      </w:r>
      <w:r w:rsidR="00F44BE5">
        <w:rPr>
          <w:sz w:val="26"/>
        </w:rPr>
        <w:t>2</w:t>
      </w:r>
      <w:r>
        <w:rPr>
          <w:sz w:val="26"/>
        </w:rPr>
        <w:t xml:space="preserve"> với tiền thân là Công ty TNHH Anh Hai Duy, trong quá trình thành lập, hoạt động và phát triển để trở thành Doanh nghiệp sản xuất bao bì nhựa lớn nhất Việt Nam như hiện nay, An Phát đã có được sự đóng góp công sức rất to lớn củ</w:t>
      </w:r>
      <w:r w:rsidR="00F44BE5">
        <w:rPr>
          <w:sz w:val="26"/>
        </w:rPr>
        <w:t>a tập thể cán bộ công nhân viên</w:t>
      </w:r>
      <w:r>
        <w:rPr>
          <w:sz w:val="26"/>
        </w:rPr>
        <w:t>, nhất là những cán bộ đã làm việc từ những ngày đầu thành lập. Để tri ân những cá nhân này, cũng như xem đó là một chính sách để thu hút nhân tài, phát triển nguồn nhân lực chất lượng cao</w:t>
      </w:r>
      <w:r w:rsidR="00F44BE5">
        <w:rPr>
          <w:sz w:val="26"/>
        </w:rPr>
        <w:t xml:space="preserve"> trong tương lai đáp ứng sự phát triển của Công ty</w:t>
      </w:r>
      <w:r>
        <w:rPr>
          <w:sz w:val="26"/>
        </w:rPr>
        <w:t>, Hội đồng quản trị kính đề nghị Quý cổ đông xem xét thông qua kế hoạch phát hành cổ phiếu thưởng</w:t>
      </w:r>
      <w:r w:rsidR="0010032E">
        <w:rPr>
          <w:sz w:val="26"/>
        </w:rPr>
        <w:t>, c</w:t>
      </w:r>
      <w:r w:rsidR="0010032E" w:rsidRPr="0010032E">
        <w:rPr>
          <w:sz w:val="26"/>
        </w:rPr>
        <w:t>ổ</w:t>
      </w:r>
      <w:r w:rsidR="0010032E">
        <w:rPr>
          <w:sz w:val="26"/>
        </w:rPr>
        <w:t xml:space="preserve"> phi</w:t>
      </w:r>
      <w:r w:rsidR="0010032E" w:rsidRPr="0010032E">
        <w:rPr>
          <w:sz w:val="26"/>
        </w:rPr>
        <w:t>ếu</w:t>
      </w:r>
      <w:r w:rsidR="0010032E">
        <w:rPr>
          <w:sz w:val="26"/>
        </w:rPr>
        <w:t xml:space="preserve"> </w:t>
      </w:r>
      <w:r w:rsidR="0010032E" w:rsidRPr="0010032E">
        <w:rPr>
          <w:sz w:val="26"/>
        </w:rPr>
        <w:t>ư</w:t>
      </w:r>
      <w:r w:rsidR="0010032E">
        <w:rPr>
          <w:sz w:val="26"/>
        </w:rPr>
        <w:t xml:space="preserve">u </w:t>
      </w:r>
      <w:r w:rsidR="0010032E" w:rsidRPr="0010032E">
        <w:rPr>
          <w:sz w:val="26"/>
        </w:rPr>
        <w:t>đã</w:t>
      </w:r>
      <w:r w:rsidR="0010032E">
        <w:rPr>
          <w:sz w:val="26"/>
        </w:rPr>
        <w:t>i</w:t>
      </w:r>
      <w:r>
        <w:rPr>
          <w:sz w:val="26"/>
        </w:rPr>
        <w:t xml:space="preserve"> cho cán bộ công nhân viên công ty, cụ thể như sau:</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Tên cổ phiếu: cổ phiếu Công ty cổ phần Nhựa và Môi trường Xanh An Phát</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Loại cổ phiếu: cổ phiếu phổ thông, không hạn chế chuyển nhượng.</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Mệnh giá cổ phiếu: 10.000 đồng/ cổ phiếu</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Tổng số cổ phần đã phát hành: 49.499.988 cổ phần</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Số lượng cổ phiếu đang lưu hành: 49.499.988 cổ phiếu</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Số lượng cổ phiếu quỹ: 0 cổ phiếu</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 xml:space="preserve">Số lượng cổ phần dự kiến phát hành: </w:t>
      </w:r>
      <w:bookmarkStart w:id="1" w:name="OLE_LINK1"/>
      <w:r w:rsidRPr="00B574A9">
        <w:rPr>
          <w:sz w:val="26"/>
          <w:szCs w:val="20"/>
        </w:rPr>
        <w:t>tối đa 2.400.000</w:t>
      </w:r>
      <w:bookmarkEnd w:id="1"/>
      <w:r w:rsidRPr="00B574A9">
        <w:rPr>
          <w:sz w:val="26"/>
          <w:szCs w:val="20"/>
        </w:rPr>
        <w:t xml:space="preserve"> cổ phiếu</w:t>
      </w:r>
    </w:p>
    <w:p w:rsidR="001E2576" w:rsidRPr="00B574A9" w:rsidRDefault="001E2576" w:rsidP="001E2576">
      <w:pPr>
        <w:pStyle w:val="NormalWeb"/>
        <w:tabs>
          <w:tab w:val="left" w:pos="900"/>
        </w:tabs>
        <w:spacing w:before="60" w:beforeAutospacing="0" w:after="60" w:afterAutospacing="0" w:line="312" w:lineRule="auto"/>
        <w:ind w:left="900"/>
        <w:jc w:val="both"/>
        <w:rPr>
          <w:sz w:val="26"/>
          <w:szCs w:val="20"/>
        </w:rPr>
      </w:pPr>
      <w:r w:rsidRPr="00B574A9">
        <w:rPr>
          <w:sz w:val="26"/>
          <w:szCs w:val="20"/>
        </w:rPr>
        <w:t xml:space="preserve">Trong đó: </w:t>
      </w:r>
    </w:p>
    <w:p w:rsidR="001E2576" w:rsidRPr="00B574A9" w:rsidRDefault="001E2576" w:rsidP="001E2576">
      <w:pPr>
        <w:pStyle w:val="NormalWeb"/>
        <w:numPr>
          <w:ilvl w:val="1"/>
          <w:numId w:val="21"/>
        </w:numPr>
        <w:tabs>
          <w:tab w:val="left" w:pos="900"/>
        </w:tabs>
        <w:spacing w:before="60" w:beforeAutospacing="0" w:after="60" w:afterAutospacing="0" w:line="312" w:lineRule="auto"/>
        <w:jc w:val="both"/>
        <w:rPr>
          <w:sz w:val="26"/>
          <w:szCs w:val="20"/>
        </w:rPr>
      </w:pPr>
      <w:r w:rsidRPr="00B574A9">
        <w:rPr>
          <w:sz w:val="26"/>
          <w:szCs w:val="20"/>
        </w:rPr>
        <w:t>Cổ phiếu thưởng cho người lao động: 400.000 cổ phiếu</w:t>
      </w:r>
    </w:p>
    <w:p w:rsidR="001E2576" w:rsidRPr="00B574A9" w:rsidRDefault="001E2576" w:rsidP="001E2576">
      <w:pPr>
        <w:pStyle w:val="NormalWeb"/>
        <w:numPr>
          <w:ilvl w:val="1"/>
          <w:numId w:val="21"/>
        </w:numPr>
        <w:tabs>
          <w:tab w:val="left" w:pos="900"/>
        </w:tabs>
        <w:spacing w:before="60" w:beforeAutospacing="0" w:after="60" w:afterAutospacing="0" w:line="312" w:lineRule="auto"/>
        <w:jc w:val="both"/>
        <w:rPr>
          <w:sz w:val="26"/>
          <w:szCs w:val="20"/>
        </w:rPr>
      </w:pPr>
      <w:r w:rsidRPr="00B574A9">
        <w:rPr>
          <w:sz w:val="26"/>
          <w:szCs w:val="20"/>
        </w:rPr>
        <w:t>Cổ phiếu phát hành theo chương trình lựa chọn cho người lao động: 2.000.000 cổ phiếu với giá phát hành 13.000 đồng/cổ phiếu</w:t>
      </w:r>
    </w:p>
    <w:p w:rsidR="001E2576"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 xml:space="preserve">Nguyên tắc xác định giá bán: </w:t>
      </w:r>
    </w:p>
    <w:p w:rsidR="00495A65" w:rsidRPr="00495A65" w:rsidRDefault="00495A65" w:rsidP="00495A65">
      <w:pPr>
        <w:pStyle w:val="NormalWeb"/>
        <w:numPr>
          <w:ilvl w:val="1"/>
          <w:numId w:val="21"/>
        </w:numPr>
        <w:tabs>
          <w:tab w:val="left" w:pos="900"/>
        </w:tabs>
        <w:spacing w:before="60" w:beforeAutospacing="0" w:after="60" w:afterAutospacing="0" w:line="312" w:lineRule="auto"/>
        <w:jc w:val="both"/>
        <w:rPr>
          <w:sz w:val="26"/>
          <w:szCs w:val="20"/>
        </w:rPr>
      </w:pPr>
      <w:r w:rsidRPr="00495A65">
        <w:rPr>
          <w:sz w:val="26"/>
          <w:szCs w:val="20"/>
        </w:rPr>
        <w:t>Giá trị sổ sách tại ngày 31/12/2015 theo báo cáo tài chính hợp nhất quyết toán năm 2015 của Công ty: 16.555 đồng/cổ phiếu</w:t>
      </w:r>
    </w:p>
    <w:p w:rsidR="00495A65" w:rsidRPr="00495A65" w:rsidRDefault="00495A65" w:rsidP="00495A65">
      <w:pPr>
        <w:pStyle w:val="NormalWeb"/>
        <w:numPr>
          <w:ilvl w:val="1"/>
          <w:numId w:val="21"/>
        </w:numPr>
        <w:tabs>
          <w:tab w:val="left" w:pos="900"/>
        </w:tabs>
        <w:spacing w:before="60" w:beforeAutospacing="0" w:after="60" w:afterAutospacing="0" w:line="312" w:lineRule="auto"/>
        <w:jc w:val="both"/>
        <w:rPr>
          <w:sz w:val="26"/>
          <w:szCs w:val="20"/>
        </w:rPr>
      </w:pPr>
      <w:r w:rsidRPr="00495A65">
        <w:rPr>
          <w:sz w:val="26"/>
          <w:szCs w:val="20"/>
        </w:rPr>
        <w:t>Giá giao dịch cổ phiếu AAA tại ngày 4/2/2016: 14.400 đồng/cổ phiếu</w:t>
      </w:r>
    </w:p>
    <w:p w:rsidR="00495A65" w:rsidRPr="00B574A9" w:rsidRDefault="00495A65" w:rsidP="00495A65">
      <w:pPr>
        <w:pStyle w:val="NormalWeb"/>
        <w:tabs>
          <w:tab w:val="left" w:pos="900"/>
        </w:tabs>
        <w:spacing w:before="60" w:beforeAutospacing="0" w:after="60" w:afterAutospacing="0" w:line="312" w:lineRule="auto"/>
        <w:ind w:left="900"/>
        <w:jc w:val="both"/>
        <w:rPr>
          <w:sz w:val="26"/>
          <w:szCs w:val="20"/>
        </w:rPr>
      </w:pPr>
      <w:r w:rsidRPr="00495A65">
        <w:rPr>
          <w:sz w:val="26"/>
          <w:szCs w:val="20"/>
        </w:rPr>
        <w:t>Như vậy giá phát hành bằng 78% giá trị sổ sách tại ngày 31/12/2015 và bằng 90% giá giao dịch cổ phiếu AAA tại Sở giao dịch chứng khoán Hà Nội</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Tổng giá trị phát hành theo mệnh giá: 24.000.000.000 đồng (bằng chữ: Hai mươi tư tỷ đồng)</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 xml:space="preserve">Tỷ lệ phát hành </w:t>
      </w:r>
      <w:r w:rsidRPr="00B574A9">
        <w:rPr>
          <w:i/>
          <w:iCs/>
          <w:sz w:val="26"/>
          <w:szCs w:val="20"/>
        </w:rPr>
        <w:t>(số lượng cổ phần dự kiến phát hành/số cổ phiếu đang lưu hành)</w:t>
      </w:r>
      <w:r w:rsidRPr="00B574A9">
        <w:rPr>
          <w:sz w:val="26"/>
          <w:szCs w:val="20"/>
        </w:rPr>
        <w:t>: 4,84%</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 xml:space="preserve">Nguồn vốn: </w:t>
      </w:r>
    </w:p>
    <w:p w:rsidR="001E2576" w:rsidRPr="00B574A9" w:rsidRDefault="001E2576" w:rsidP="001E2576">
      <w:pPr>
        <w:pStyle w:val="NormalWeb"/>
        <w:numPr>
          <w:ilvl w:val="1"/>
          <w:numId w:val="21"/>
        </w:numPr>
        <w:tabs>
          <w:tab w:val="left" w:pos="900"/>
        </w:tabs>
        <w:spacing w:before="60" w:beforeAutospacing="0" w:after="60" w:afterAutospacing="0" w:line="312" w:lineRule="auto"/>
        <w:jc w:val="both"/>
        <w:rPr>
          <w:sz w:val="26"/>
          <w:szCs w:val="20"/>
        </w:rPr>
      </w:pPr>
      <w:r w:rsidRPr="00B574A9">
        <w:rPr>
          <w:sz w:val="26"/>
          <w:szCs w:val="20"/>
        </w:rPr>
        <w:lastRenderedPageBreak/>
        <w:t>Đối với phần cổ phiếu thưởng cho người lao động: Nguồn vốn để phát hành cổ phiếu thưởng cho người lao động sẽ lấy từ nguồn lợi nhuận sau thuế chưa phân phối năm 2015 trên báo cáo tài chính hợp nhất.</w:t>
      </w:r>
    </w:p>
    <w:p w:rsidR="001E2576" w:rsidRPr="00B574A9" w:rsidRDefault="001E2576" w:rsidP="001E2576">
      <w:pPr>
        <w:pStyle w:val="NormalWeb"/>
        <w:numPr>
          <w:ilvl w:val="1"/>
          <w:numId w:val="21"/>
        </w:numPr>
        <w:tabs>
          <w:tab w:val="left" w:pos="900"/>
        </w:tabs>
        <w:spacing w:before="60" w:beforeAutospacing="0" w:after="60" w:afterAutospacing="0" w:line="312" w:lineRule="auto"/>
        <w:jc w:val="both"/>
        <w:rPr>
          <w:sz w:val="26"/>
          <w:szCs w:val="20"/>
        </w:rPr>
      </w:pPr>
      <w:r w:rsidRPr="00B574A9">
        <w:rPr>
          <w:sz w:val="26"/>
          <w:szCs w:val="20"/>
        </w:rPr>
        <w:t>Đối với phần cổ phiếu phát hành theo chương trình lựa chọn cho người lao động với giá 13.000 đồng/cổ phiếu sẽ không cần nguồn bù đắp từ Công ty.</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 xml:space="preserve">Hạn chế chuyển nhượng: Cổ phiếu không hạn chế chuyển nhượng. </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Thời gian thực hiện: Năm 2016 và sau khi được Ủy ban Chứng khoán Nhà nước chấp thuận.</w:t>
      </w:r>
    </w:p>
    <w:p w:rsidR="001E2576" w:rsidRPr="00B574A9" w:rsidRDefault="001E2576" w:rsidP="001E2576">
      <w:pPr>
        <w:pStyle w:val="NormalWeb"/>
        <w:numPr>
          <w:ilvl w:val="1"/>
          <w:numId w:val="36"/>
        </w:numPr>
        <w:tabs>
          <w:tab w:val="left" w:pos="900"/>
        </w:tabs>
        <w:spacing w:before="60" w:beforeAutospacing="0" w:after="60" w:afterAutospacing="0" w:line="312" w:lineRule="auto"/>
        <w:ind w:left="900" w:hanging="450"/>
        <w:jc w:val="both"/>
        <w:rPr>
          <w:sz w:val="26"/>
          <w:szCs w:val="20"/>
        </w:rPr>
      </w:pPr>
      <w:r w:rsidRPr="00B574A9">
        <w:rPr>
          <w:sz w:val="26"/>
          <w:szCs w:val="20"/>
        </w:rPr>
        <w:t xml:space="preserve">Ủy quyền cho Hội đồng quản trị: </w:t>
      </w:r>
    </w:p>
    <w:p w:rsidR="001E2576" w:rsidRPr="00B574A9" w:rsidRDefault="001E2576" w:rsidP="00EB18C6">
      <w:pPr>
        <w:pStyle w:val="ListParagraph"/>
        <w:numPr>
          <w:ilvl w:val="0"/>
          <w:numId w:val="39"/>
        </w:numPr>
        <w:spacing w:line="360" w:lineRule="auto"/>
        <w:jc w:val="both"/>
        <w:rPr>
          <w:sz w:val="26"/>
          <w:szCs w:val="20"/>
        </w:rPr>
      </w:pPr>
      <w:r w:rsidRPr="00B574A9">
        <w:rPr>
          <w:sz w:val="26"/>
          <w:szCs w:val="20"/>
        </w:rPr>
        <w:t>Quyết định thời điểm cụ thể để thực hiện việc phát hành;</w:t>
      </w:r>
    </w:p>
    <w:p w:rsidR="001E2576" w:rsidRPr="00B574A9" w:rsidRDefault="001E2576" w:rsidP="00EB18C6">
      <w:pPr>
        <w:pStyle w:val="ListParagraph"/>
        <w:numPr>
          <w:ilvl w:val="0"/>
          <w:numId w:val="39"/>
        </w:numPr>
        <w:spacing w:line="360" w:lineRule="auto"/>
        <w:jc w:val="both"/>
        <w:rPr>
          <w:sz w:val="26"/>
          <w:szCs w:val="20"/>
        </w:rPr>
      </w:pPr>
      <w:r w:rsidRPr="00B574A9">
        <w:rPr>
          <w:sz w:val="26"/>
          <w:szCs w:val="20"/>
        </w:rPr>
        <w:t>Công bố rõ các tiêu chuẩn và danh sách người lao động được tham gia chương trình, nguyên tắc xác định số cổ phiếu đ</w:t>
      </w:r>
      <w:r w:rsidR="00D743C5">
        <w:rPr>
          <w:sz w:val="26"/>
          <w:szCs w:val="20"/>
        </w:rPr>
        <w:t>ược phân phối cho từng đối tượng</w:t>
      </w:r>
      <w:r w:rsidRPr="00B574A9">
        <w:rPr>
          <w:sz w:val="26"/>
          <w:szCs w:val="20"/>
        </w:rPr>
        <w:t>.</w:t>
      </w:r>
    </w:p>
    <w:p w:rsidR="001E2576" w:rsidRPr="00B574A9" w:rsidRDefault="001E2576" w:rsidP="00EB18C6">
      <w:pPr>
        <w:pStyle w:val="ListParagraph"/>
        <w:numPr>
          <w:ilvl w:val="0"/>
          <w:numId w:val="39"/>
        </w:numPr>
        <w:spacing w:line="360" w:lineRule="auto"/>
        <w:jc w:val="both"/>
        <w:rPr>
          <w:sz w:val="26"/>
          <w:szCs w:val="20"/>
        </w:rPr>
      </w:pPr>
      <w:r w:rsidRPr="00B574A9">
        <w:rPr>
          <w:sz w:val="26"/>
          <w:szCs w:val="20"/>
        </w:rPr>
        <w:t>Lựa chọn và quyết định chọn tổ chức tư vấn phát hành/công ty chứng khoán tư vấn cho Công ty trong đợt phát hành;</w:t>
      </w:r>
    </w:p>
    <w:p w:rsidR="001E2576" w:rsidRPr="00B574A9" w:rsidRDefault="001E2576" w:rsidP="00EB18C6">
      <w:pPr>
        <w:pStyle w:val="ListParagraph"/>
        <w:numPr>
          <w:ilvl w:val="0"/>
          <w:numId w:val="39"/>
        </w:numPr>
        <w:spacing w:line="360" w:lineRule="auto"/>
        <w:jc w:val="both"/>
        <w:rPr>
          <w:sz w:val="26"/>
          <w:szCs w:val="20"/>
        </w:rPr>
      </w:pPr>
      <w:r w:rsidRPr="00B574A9">
        <w:rPr>
          <w:sz w:val="26"/>
          <w:szCs w:val="20"/>
        </w:rPr>
        <w:t xml:space="preserve">Sửa đổi, bổ sung Điều lệ công ty để ghi nhận phần vốn điều lệ, cổ phần mới theo kết quả thực tế của việc phát hành cổ phiếu theo chương trình lựa chọn cho người lao động; </w:t>
      </w:r>
    </w:p>
    <w:p w:rsidR="001E2576" w:rsidRPr="00B574A9" w:rsidRDefault="001E2576" w:rsidP="00EB18C6">
      <w:pPr>
        <w:pStyle w:val="ListParagraph"/>
        <w:numPr>
          <w:ilvl w:val="0"/>
          <w:numId w:val="39"/>
        </w:numPr>
        <w:spacing w:line="360" w:lineRule="auto"/>
        <w:jc w:val="both"/>
        <w:rPr>
          <w:sz w:val="26"/>
          <w:szCs w:val="20"/>
        </w:rPr>
      </w:pPr>
      <w:r w:rsidRPr="00B574A9">
        <w:rPr>
          <w:sz w:val="26"/>
          <w:szCs w:val="20"/>
        </w:rPr>
        <w:t>Triển khai và phê duyệt các hồ sơ cần thiết để đăng ký chứng khoán bổ sung tại Trung tâm Lưu ký chứng khoán Việt Nam và niêm yết bổ sung cổ phần phát hành thêm nêu trên tại Sở Giao dịch chứng khoán theo quy định của pháp luật;</w:t>
      </w:r>
    </w:p>
    <w:p w:rsidR="001E2576" w:rsidRPr="00B574A9" w:rsidRDefault="001E2576" w:rsidP="00EB18C6">
      <w:pPr>
        <w:pStyle w:val="ListParagraph"/>
        <w:numPr>
          <w:ilvl w:val="0"/>
          <w:numId w:val="39"/>
        </w:numPr>
        <w:spacing w:line="360" w:lineRule="auto"/>
        <w:jc w:val="both"/>
        <w:rPr>
          <w:sz w:val="26"/>
          <w:szCs w:val="20"/>
        </w:rPr>
      </w:pPr>
      <w:r w:rsidRPr="00B574A9">
        <w:rPr>
          <w:sz w:val="26"/>
          <w:szCs w:val="20"/>
        </w:rPr>
        <w:t xml:space="preserve">Thực hiện thủ tục thay đổi đăng ký kinh doanh về vốn điều lệ theo kết quả của đợt phát hành nêu trên với Cơ quan nhà nước có thẩm quyền;  </w:t>
      </w:r>
    </w:p>
    <w:p w:rsidR="001E2576" w:rsidRPr="00B574A9" w:rsidRDefault="001E2576" w:rsidP="00EB18C6">
      <w:pPr>
        <w:pStyle w:val="NormalWeb"/>
        <w:numPr>
          <w:ilvl w:val="0"/>
          <w:numId w:val="39"/>
        </w:numPr>
        <w:spacing w:before="60" w:beforeAutospacing="0" w:after="60" w:afterAutospacing="0" w:line="312" w:lineRule="auto"/>
        <w:jc w:val="both"/>
        <w:rPr>
          <w:sz w:val="26"/>
          <w:szCs w:val="20"/>
        </w:rPr>
      </w:pPr>
      <w:r w:rsidRPr="00B574A9">
        <w:rPr>
          <w:sz w:val="26"/>
          <w:szCs w:val="20"/>
        </w:rPr>
        <w:t>Tùy từng trường hợp cụ thể Hội đồng quản trị có thể ủy quyền cho Tổng Giám Đốc để thực hiện một hoặc một số các công việc cụ thể nêu trên đây</w:t>
      </w:r>
    </w:p>
    <w:p w:rsidR="0061713F" w:rsidRDefault="00B10D6C" w:rsidP="00595D77">
      <w:pPr>
        <w:pStyle w:val="ListParagraph"/>
        <w:spacing w:before="120" w:after="120" w:line="348" w:lineRule="auto"/>
        <w:ind w:left="-90" w:firstLine="450"/>
        <w:jc w:val="both"/>
        <w:rPr>
          <w:sz w:val="26"/>
        </w:rPr>
      </w:pPr>
      <w:r>
        <w:rPr>
          <w:sz w:val="26"/>
        </w:rPr>
        <w:t>Hội đồng quản trị kính đề nghị các Quý vị cổ đông xem xét và thông qua các vấn đề nêu tại Tờ trình.</w:t>
      </w:r>
    </w:p>
    <w:p w:rsidR="00595D77" w:rsidRDefault="00595D77" w:rsidP="00595D77">
      <w:pPr>
        <w:pStyle w:val="ListParagraph"/>
        <w:spacing w:before="120" w:after="120" w:line="348" w:lineRule="auto"/>
        <w:ind w:left="-90" w:firstLine="450"/>
        <w:jc w:val="both"/>
        <w:rPr>
          <w:sz w:val="26"/>
        </w:rPr>
      </w:pPr>
      <w:r>
        <w:rPr>
          <w:sz w:val="26"/>
        </w:rPr>
        <w:t>Trân trọng cảm ơn!</w:t>
      </w:r>
    </w:p>
    <w:tbl>
      <w:tblPr>
        <w:tblStyle w:val="TableGrid"/>
        <w:tblW w:w="0" w:type="auto"/>
        <w:jc w:val="center"/>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50"/>
      </w:tblGrid>
      <w:tr w:rsidR="00595D77" w:rsidTr="00595D77">
        <w:trPr>
          <w:jc w:val="center"/>
        </w:trPr>
        <w:tc>
          <w:tcPr>
            <w:tcW w:w="4792" w:type="dxa"/>
          </w:tcPr>
          <w:p w:rsidR="00595D77" w:rsidRPr="00595D77" w:rsidRDefault="00595D77" w:rsidP="00595D77">
            <w:pPr>
              <w:pStyle w:val="ListParagraph"/>
              <w:spacing w:before="120" w:after="120" w:line="348" w:lineRule="auto"/>
              <w:ind w:left="0"/>
              <w:jc w:val="both"/>
              <w:rPr>
                <w:b/>
                <w:i/>
                <w:sz w:val="26"/>
                <w:u w:val="single"/>
              </w:rPr>
            </w:pPr>
            <w:r w:rsidRPr="00595D77">
              <w:rPr>
                <w:b/>
                <w:i/>
                <w:sz w:val="26"/>
                <w:u w:val="single"/>
              </w:rPr>
              <w:t>Nơi nhận</w:t>
            </w:r>
          </w:p>
          <w:p w:rsidR="00595D77" w:rsidRPr="00595D77" w:rsidRDefault="00595D77" w:rsidP="00595D77">
            <w:pPr>
              <w:pStyle w:val="ListParagraph"/>
              <w:spacing w:before="120" w:after="120" w:line="348" w:lineRule="auto"/>
              <w:ind w:left="0"/>
              <w:jc w:val="both"/>
              <w:rPr>
                <w:sz w:val="22"/>
              </w:rPr>
            </w:pPr>
            <w:r w:rsidRPr="00595D77">
              <w:rPr>
                <w:sz w:val="22"/>
              </w:rPr>
              <w:t>- Như kính gửi</w:t>
            </w:r>
          </w:p>
          <w:p w:rsidR="00595D77" w:rsidRPr="00595D77" w:rsidRDefault="00595D77" w:rsidP="00595D77">
            <w:pPr>
              <w:pStyle w:val="ListParagraph"/>
              <w:spacing w:before="120" w:after="120" w:line="348" w:lineRule="auto"/>
              <w:ind w:left="0"/>
              <w:jc w:val="both"/>
              <w:rPr>
                <w:sz w:val="22"/>
              </w:rPr>
            </w:pPr>
            <w:r w:rsidRPr="00595D77">
              <w:rPr>
                <w:sz w:val="22"/>
              </w:rPr>
              <w:t>- Lưu VP./.</w:t>
            </w:r>
          </w:p>
          <w:p w:rsidR="00595D77" w:rsidRDefault="00595D77" w:rsidP="00595D77">
            <w:pPr>
              <w:pStyle w:val="ListParagraph"/>
              <w:spacing w:before="120" w:after="120" w:line="348" w:lineRule="auto"/>
              <w:ind w:left="0"/>
              <w:jc w:val="both"/>
              <w:rPr>
                <w:sz w:val="26"/>
              </w:rPr>
            </w:pPr>
          </w:p>
        </w:tc>
        <w:tc>
          <w:tcPr>
            <w:tcW w:w="4793" w:type="dxa"/>
          </w:tcPr>
          <w:p w:rsidR="00595D77" w:rsidRPr="00595D77" w:rsidRDefault="00595D77" w:rsidP="00595D77">
            <w:pPr>
              <w:pStyle w:val="ListParagraph"/>
              <w:spacing w:before="120" w:after="120" w:line="348" w:lineRule="auto"/>
              <w:ind w:left="0"/>
              <w:jc w:val="center"/>
              <w:rPr>
                <w:b/>
                <w:sz w:val="26"/>
              </w:rPr>
            </w:pPr>
            <w:r w:rsidRPr="00595D77">
              <w:rPr>
                <w:b/>
                <w:sz w:val="26"/>
              </w:rPr>
              <w:t>T.M HỘI ĐỒNG QUẢN TRỊ</w:t>
            </w:r>
          </w:p>
          <w:p w:rsidR="00595D77" w:rsidRPr="00595D77" w:rsidRDefault="00595D77" w:rsidP="00595D77">
            <w:pPr>
              <w:pStyle w:val="ListParagraph"/>
              <w:spacing w:before="120" w:after="120" w:line="348" w:lineRule="auto"/>
              <w:ind w:left="0"/>
              <w:jc w:val="center"/>
              <w:rPr>
                <w:b/>
                <w:sz w:val="26"/>
              </w:rPr>
            </w:pPr>
            <w:r w:rsidRPr="00595D77">
              <w:rPr>
                <w:b/>
                <w:sz w:val="26"/>
              </w:rPr>
              <w:t>CHỦ TỊCH</w:t>
            </w:r>
          </w:p>
          <w:p w:rsidR="00B93B8F" w:rsidRPr="0093644A" w:rsidRDefault="00B93B8F" w:rsidP="00595D77">
            <w:pPr>
              <w:pStyle w:val="ListParagraph"/>
              <w:spacing w:before="120" w:after="120" w:line="348" w:lineRule="auto"/>
              <w:ind w:left="0"/>
              <w:jc w:val="center"/>
              <w:rPr>
                <w:b/>
                <w:sz w:val="34"/>
              </w:rPr>
            </w:pPr>
          </w:p>
          <w:p w:rsidR="0093644A" w:rsidRPr="0093644A" w:rsidRDefault="0093644A" w:rsidP="00595D77">
            <w:pPr>
              <w:pStyle w:val="ListParagraph"/>
              <w:spacing w:before="120" w:after="120" w:line="348" w:lineRule="auto"/>
              <w:ind w:left="0"/>
              <w:jc w:val="center"/>
              <w:rPr>
                <w:b/>
                <w:sz w:val="34"/>
              </w:rPr>
            </w:pPr>
          </w:p>
          <w:p w:rsidR="00595D77" w:rsidRDefault="00595D77" w:rsidP="00595D77">
            <w:pPr>
              <w:pStyle w:val="ListParagraph"/>
              <w:spacing w:before="120" w:after="120" w:line="348" w:lineRule="auto"/>
              <w:ind w:left="0"/>
              <w:jc w:val="center"/>
              <w:rPr>
                <w:sz w:val="26"/>
              </w:rPr>
            </w:pPr>
            <w:r w:rsidRPr="00595D77">
              <w:rPr>
                <w:b/>
                <w:sz w:val="26"/>
              </w:rPr>
              <w:t>PHẠM ÁNH DƯƠNG</w:t>
            </w:r>
          </w:p>
        </w:tc>
      </w:tr>
    </w:tbl>
    <w:p w:rsidR="005E3C2F" w:rsidRDefault="005E3C2F" w:rsidP="00873FA5">
      <w:pPr>
        <w:tabs>
          <w:tab w:val="left" w:pos="7887"/>
        </w:tabs>
      </w:pPr>
    </w:p>
    <w:sectPr w:rsidR="005E3C2F" w:rsidSect="0027364B">
      <w:footerReference w:type="even" r:id="rId9"/>
      <w:footerReference w:type="default" r:id="rId10"/>
      <w:pgSz w:w="11907" w:h="16840" w:code="9"/>
      <w:pgMar w:top="794" w:right="1017" w:bottom="810" w:left="1701"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33" w:rsidRDefault="00AE1E33" w:rsidP="00C147B0">
      <w:r>
        <w:separator/>
      </w:r>
    </w:p>
  </w:endnote>
  <w:endnote w:type="continuationSeparator" w:id="0">
    <w:p w:rsidR="00AE1E33" w:rsidRDefault="00AE1E33" w:rsidP="00C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6" w:rsidRDefault="001C0670" w:rsidP="004F0CCA">
    <w:pPr>
      <w:pStyle w:val="Footer"/>
      <w:framePr w:wrap="around" w:vAnchor="text" w:hAnchor="margin" w:xAlign="center" w:y="1"/>
      <w:rPr>
        <w:rStyle w:val="PageNumber"/>
      </w:rPr>
    </w:pPr>
    <w:r>
      <w:rPr>
        <w:rStyle w:val="PageNumber"/>
      </w:rPr>
      <w:fldChar w:fldCharType="begin"/>
    </w:r>
    <w:r w:rsidR="00502576">
      <w:rPr>
        <w:rStyle w:val="PageNumber"/>
      </w:rPr>
      <w:instrText xml:space="preserve">PAGE  </w:instrText>
    </w:r>
    <w:r>
      <w:rPr>
        <w:rStyle w:val="PageNumber"/>
      </w:rPr>
      <w:fldChar w:fldCharType="separate"/>
    </w:r>
    <w:r w:rsidR="00502576">
      <w:rPr>
        <w:rStyle w:val="PageNumber"/>
        <w:noProof/>
      </w:rPr>
      <w:t>3</w:t>
    </w:r>
    <w:r>
      <w:rPr>
        <w:rStyle w:val="PageNumber"/>
      </w:rPr>
      <w:fldChar w:fldCharType="end"/>
    </w:r>
  </w:p>
  <w:p w:rsidR="00502576" w:rsidRDefault="00502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6" w:rsidRPr="00002536" w:rsidRDefault="001C0670" w:rsidP="004F0CCA">
    <w:pPr>
      <w:pStyle w:val="Footer"/>
      <w:framePr w:wrap="around" w:vAnchor="text" w:hAnchor="margin" w:xAlign="center" w:y="1"/>
      <w:rPr>
        <w:rStyle w:val="PageNumber"/>
        <w:sz w:val="20"/>
        <w:szCs w:val="22"/>
      </w:rPr>
    </w:pPr>
    <w:r w:rsidRPr="00002536">
      <w:rPr>
        <w:rStyle w:val="PageNumber"/>
        <w:sz w:val="20"/>
        <w:szCs w:val="22"/>
      </w:rPr>
      <w:fldChar w:fldCharType="begin"/>
    </w:r>
    <w:r w:rsidR="00502576" w:rsidRPr="00002536">
      <w:rPr>
        <w:rStyle w:val="PageNumber"/>
        <w:sz w:val="20"/>
        <w:szCs w:val="22"/>
      </w:rPr>
      <w:instrText xml:space="preserve">PAGE  </w:instrText>
    </w:r>
    <w:r w:rsidRPr="00002536">
      <w:rPr>
        <w:rStyle w:val="PageNumber"/>
        <w:sz w:val="20"/>
        <w:szCs w:val="22"/>
      </w:rPr>
      <w:fldChar w:fldCharType="separate"/>
    </w:r>
    <w:r w:rsidR="00771886">
      <w:rPr>
        <w:rStyle w:val="PageNumber"/>
        <w:noProof/>
        <w:sz w:val="20"/>
        <w:szCs w:val="22"/>
      </w:rPr>
      <w:t>6</w:t>
    </w:r>
    <w:r w:rsidRPr="00002536">
      <w:rPr>
        <w:rStyle w:val="PageNumber"/>
        <w:sz w:val="20"/>
        <w:szCs w:val="22"/>
      </w:rPr>
      <w:fldChar w:fldCharType="end"/>
    </w:r>
  </w:p>
  <w:p w:rsidR="00502576" w:rsidRDefault="00502576" w:rsidP="0000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33" w:rsidRDefault="00AE1E33" w:rsidP="00C147B0">
      <w:r>
        <w:separator/>
      </w:r>
    </w:p>
  </w:footnote>
  <w:footnote w:type="continuationSeparator" w:id="0">
    <w:p w:rsidR="00AE1E33" w:rsidRDefault="00AE1E33" w:rsidP="00C14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A04"/>
    <w:multiLevelType w:val="hybridMultilevel"/>
    <w:tmpl w:val="2EE0D3EE"/>
    <w:lvl w:ilvl="0" w:tplc="721E6ADC">
      <w:start w:val="2"/>
      <w:numFmt w:val="bullet"/>
      <w:lvlText w:val="-"/>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A9F"/>
    <w:multiLevelType w:val="hybridMultilevel"/>
    <w:tmpl w:val="F4E46146"/>
    <w:lvl w:ilvl="0" w:tplc="456CC9AA">
      <w:start w:val="1"/>
      <w:numFmt w:val="bullet"/>
      <w:lvlText w:val="-"/>
      <w:lvlJc w:val="left"/>
      <w:pPr>
        <w:ind w:left="45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B82454"/>
    <w:multiLevelType w:val="hybridMultilevel"/>
    <w:tmpl w:val="A3C093D0"/>
    <w:lvl w:ilvl="0" w:tplc="8BB87414">
      <w:numFmt w:val="bullet"/>
      <w:lvlText w:val="-"/>
      <w:lvlJc w:val="left"/>
      <w:pPr>
        <w:ind w:left="720" w:hanging="360"/>
      </w:pPr>
      <w:rPr>
        <w:rFonts w:ascii="Vrinda" w:eastAsia="Times New Roman" w:hAnsi="Vrind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A05B2"/>
    <w:multiLevelType w:val="hybridMultilevel"/>
    <w:tmpl w:val="6592F93E"/>
    <w:lvl w:ilvl="0" w:tplc="151E5FC0">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84F65"/>
    <w:multiLevelType w:val="hybridMultilevel"/>
    <w:tmpl w:val="D114A6D6"/>
    <w:lvl w:ilvl="0" w:tplc="A874D7C2">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B560F94"/>
    <w:multiLevelType w:val="hybridMultilevel"/>
    <w:tmpl w:val="67EA0226"/>
    <w:lvl w:ilvl="0" w:tplc="EB54BC8A">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2D5EBF"/>
    <w:multiLevelType w:val="hybridMultilevel"/>
    <w:tmpl w:val="026C4D96"/>
    <w:lvl w:ilvl="0" w:tplc="456CC9AA">
      <w:start w:val="1"/>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D5236AA"/>
    <w:multiLevelType w:val="hybridMultilevel"/>
    <w:tmpl w:val="88A214E4"/>
    <w:lvl w:ilvl="0" w:tplc="EB54BC8A">
      <w:start w:val="1"/>
      <w:numFmt w:val="decimal"/>
      <w:lvlText w:val="%1."/>
      <w:lvlJc w:val="left"/>
      <w:pPr>
        <w:tabs>
          <w:tab w:val="num" w:pos="1080"/>
        </w:tabs>
        <w:ind w:left="1080" w:hanging="360"/>
      </w:pPr>
      <w:rPr>
        <w:rFonts w:hint="default"/>
        <w:b/>
      </w:rPr>
    </w:lvl>
    <w:lvl w:ilvl="1" w:tplc="151E5FC0">
      <w:start w:val="1"/>
      <w:numFmt w:val="bullet"/>
      <w:lvlText w:val="-"/>
      <w:lvlJc w:val="left"/>
      <w:pPr>
        <w:tabs>
          <w:tab w:val="num" w:pos="1800"/>
        </w:tabs>
        <w:ind w:left="1800" w:hanging="360"/>
      </w:pPr>
      <w:rPr>
        <w:rFonts w:ascii="Vrinda" w:hAnsi="Vrind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11FAE"/>
    <w:multiLevelType w:val="hybridMultilevel"/>
    <w:tmpl w:val="67EA0226"/>
    <w:lvl w:ilvl="0" w:tplc="EB54BC8A">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BB156A"/>
    <w:multiLevelType w:val="hybridMultilevel"/>
    <w:tmpl w:val="8E7EDFBA"/>
    <w:lvl w:ilvl="0" w:tplc="456CC9AA">
      <w:start w:val="1"/>
      <w:numFmt w:val="bullet"/>
      <w:lvlText w:val="-"/>
      <w:lvlJc w:val="left"/>
      <w:pPr>
        <w:ind w:left="45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21B3791"/>
    <w:multiLevelType w:val="hybridMultilevel"/>
    <w:tmpl w:val="26B8D986"/>
    <w:lvl w:ilvl="0" w:tplc="07B4E2D2">
      <w:start w:val="1"/>
      <w:numFmt w:val="upperRoman"/>
      <w:lvlText w:val="%1."/>
      <w:lvlJc w:val="left"/>
      <w:pPr>
        <w:ind w:left="1440" w:hanging="360"/>
      </w:pPr>
      <w:rPr>
        <w:rFonts w:hint="default"/>
        <w:b/>
      </w:rPr>
    </w:lvl>
    <w:lvl w:ilvl="1" w:tplc="930C993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725829"/>
    <w:multiLevelType w:val="hybridMultilevel"/>
    <w:tmpl w:val="F5B6F440"/>
    <w:lvl w:ilvl="0" w:tplc="8BB87414">
      <w:numFmt w:val="bullet"/>
      <w:lvlText w:val="-"/>
      <w:lvlJc w:val="left"/>
      <w:pPr>
        <w:ind w:left="720" w:hanging="360"/>
      </w:pPr>
      <w:rPr>
        <w:rFonts w:ascii="Vrinda" w:eastAsia="Times New Roman" w:hAnsi="Vrinda"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95F8D"/>
    <w:multiLevelType w:val="hybridMultilevel"/>
    <w:tmpl w:val="88DA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9202E"/>
    <w:multiLevelType w:val="hybridMultilevel"/>
    <w:tmpl w:val="91A8881E"/>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3666C"/>
    <w:multiLevelType w:val="hybridMultilevel"/>
    <w:tmpl w:val="1568A23C"/>
    <w:lvl w:ilvl="0" w:tplc="456CC9AA">
      <w:start w:val="1"/>
      <w:numFmt w:val="bullet"/>
      <w:lvlText w:val="-"/>
      <w:lvlJc w:val="left"/>
      <w:pPr>
        <w:ind w:left="45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B65366"/>
    <w:multiLevelType w:val="hybridMultilevel"/>
    <w:tmpl w:val="87309C44"/>
    <w:lvl w:ilvl="0" w:tplc="2F308F36">
      <w:numFmt w:val="bullet"/>
      <w:lvlText w:val=""/>
      <w:lvlJc w:val="left"/>
      <w:pPr>
        <w:ind w:left="2160" w:hanging="360"/>
      </w:pPr>
      <w:rPr>
        <w:rFonts w:ascii="Symbol" w:eastAsia="Times New Roman" w:hAnsi="Symbol"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3EB3058"/>
    <w:multiLevelType w:val="hybridMultilevel"/>
    <w:tmpl w:val="96FE1ED6"/>
    <w:lvl w:ilvl="0" w:tplc="B7E45962">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91FFB"/>
    <w:multiLevelType w:val="hybridMultilevel"/>
    <w:tmpl w:val="395A953E"/>
    <w:lvl w:ilvl="0" w:tplc="456CC9AA">
      <w:start w:val="1"/>
      <w:numFmt w:val="bullet"/>
      <w:lvlText w:val="-"/>
      <w:lvlJc w:val="left"/>
      <w:pPr>
        <w:ind w:left="63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801BAC"/>
    <w:multiLevelType w:val="hybridMultilevel"/>
    <w:tmpl w:val="3A60F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30303"/>
    <w:multiLevelType w:val="hybridMultilevel"/>
    <w:tmpl w:val="02082774"/>
    <w:lvl w:ilvl="0" w:tplc="E638B2E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E3B4224"/>
    <w:multiLevelType w:val="hybridMultilevel"/>
    <w:tmpl w:val="455C3322"/>
    <w:lvl w:ilvl="0" w:tplc="151E5FC0">
      <w:start w:val="1"/>
      <w:numFmt w:val="bullet"/>
      <w:lvlText w:val="-"/>
      <w:lvlJc w:val="left"/>
      <w:pPr>
        <w:ind w:left="720" w:hanging="360"/>
      </w:pPr>
      <w:rPr>
        <w:rFonts w:ascii="Vrinda" w:hAnsi="Vrinda" w:hint="default"/>
      </w:rPr>
    </w:lvl>
    <w:lvl w:ilvl="1" w:tplc="151E5FC0">
      <w:start w:val="1"/>
      <w:numFmt w:val="bullet"/>
      <w:lvlText w:val="-"/>
      <w:lvlJc w:val="left"/>
      <w:pPr>
        <w:ind w:left="1440" w:hanging="360"/>
      </w:pPr>
      <w:rPr>
        <w:rFonts w:ascii="Vrinda" w:hAnsi="Vrind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E7D9F"/>
    <w:multiLevelType w:val="hybridMultilevel"/>
    <w:tmpl w:val="F878CF34"/>
    <w:lvl w:ilvl="0" w:tplc="46A6CDCE">
      <w:start w:val="1"/>
      <w:numFmt w:val="low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53D1C8B"/>
    <w:multiLevelType w:val="hybridMultilevel"/>
    <w:tmpl w:val="6698339E"/>
    <w:lvl w:ilvl="0" w:tplc="B7A0222A">
      <w:start w:val="18"/>
      <w:numFmt w:val="bullet"/>
      <w:lvlText w:val="-"/>
      <w:lvlJc w:val="left"/>
      <w:pPr>
        <w:ind w:left="45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6A51A13"/>
    <w:multiLevelType w:val="hybridMultilevel"/>
    <w:tmpl w:val="3B78E142"/>
    <w:lvl w:ilvl="0" w:tplc="117C2F5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6F1716C"/>
    <w:multiLevelType w:val="hybridMultilevel"/>
    <w:tmpl w:val="0FE2BA32"/>
    <w:lvl w:ilvl="0" w:tplc="07B4E2D2">
      <w:start w:val="1"/>
      <w:numFmt w:val="upperRoman"/>
      <w:lvlText w:val="%1."/>
      <w:lvlJc w:val="left"/>
      <w:pPr>
        <w:ind w:left="1440" w:hanging="360"/>
      </w:pPr>
      <w:rPr>
        <w:rFonts w:hint="default"/>
        <w:b/>
      </w:rPr>
    </w:lvl>
    <w:lvl w:ilvl="1" w:tplc="878A2992">
      <w:start w:val="1"/>
      <w:numFmt w:val="bullet"/>
      <w:lvlText w:val="-"/>
      <w:lvlJc w:val="left"/>
      <w:pPr>
        <w:ind w:left="2160" w:hanging="360"/>
      </w:pPr>
      <w:rPr>
        <w:rFonts w:ascii=".VnTime" w:hAnsi=".VnTime" w:hint="default"/>
      </w:rPr>
    </w:lvl>
    <w:lvl w:ilvl="2" w:tplc="8B560A78">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624066"/>
    <w:multiLevelType w:val="multilevel"/>
    <w:tmpl w:val="3A24F5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A986DFA"/>
    <w:multiLevelType w:val="hybridMultilevel"/>
    <w:tmpl w:val="C7E07988"/>
    <w:lvl w:ilvl="0" w:tplc="D4462DF4">
      <w:start w:val="1"/>
      <w:numFmt w:val="bullet"/>
      <w:lvlText w:val="-"/>
      <w:lvlJc w:val="left"/>
      <w:pPr>
        <w:tabs>
          <w:tab w:val="num" w:pos="1620"/>
        </w:tabs>
        <w:ind w:left="16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F43710"/>
    <w:multiLevelType w:val="multilevel"/>
    <w:tmpl w:val="35AA1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25E2053"/>
    <w:multiLevelType w:val="hybridMultilevel"/>
    <w:tmpl w:val="B12A48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36529"/>
    <w:multiLevelType w:val="hybridMultilevel"/>
    <w:tmpl w:val="AC2EE974"/>
    <w:lvl w:ilvl="0" w:tplc="C728C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13374F"/>
    <w:multiLevelType w:val="hybridMultilevel"/>
    <w:tmpl w:val="34AC0D3E"/>
    <w:lvl w:ilvl="0" w:tplc="8BB87414">
      <w:numFmt w:val="bullet"/>
      <w:lvlText w:val="-"/>
      <w:lvlJc w:val="left"/>
      <w:pPr>
        <w:ind w:left="990" w:hanging="360"/>
      </w:pPr>
      <w:rPr>
        <w:rFonts w:ascii="Vrinda" w:eastAsia="Times New Roman" w:hAnsi="Vrinda" w:hint="default"/>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FCA0CBB"/>
    <w:multiLevelType w:val="hybridMultilevel"/>
    <w:tmpl w:val="82CE8E02"/>
    <w:lvl w:ilvl="0" w:tplc="C728C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118C0"/>
    <w:multiLevelType w:val="hybridMultilevel"/>
    <w:tmpl w:val="004E2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61E01"/>
    <w:multiLevelType w:val="hybridMultilevel"/>
    <w:tmpl w:val="790E8BEC"/>
    <w:lvl w:ilvl="0" w:tplc="A42EEB5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F7A92"/>
    <w:multiLevelType w:val="hybridMultilevel"/>
    <w:tmpl w:val="27D6A9C8"/>
    <w:lvl w:ilvl="0" w:tplc="456CC9A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A5EBF"/>
    <w:multiLevelType w:val="hybridMultilevel"/>
    <w:tmpl w:val="88DA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A128B"/>
    <w:multiLevelType w:val="hybridMultilevel"/>
    <w:tmpl w:val="88DA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37F06"/>
    <w:multiLevelType w:val="hybridMultilevel"/>
    <w:tmpl w:val="DF5A28D0"/>
    <w:lvl w:ilvl="0" w:tplc="8BB87414">
      <w:numFmt w:val="bullet"/>
      <w:lvlText w:val="-"/>
      <w:lvlJc w:val="left"/>
      <w:pPr>
        <w:ind w:left="1440" w:hanging="360"/>
      </w:pPr>
      <w:rPr>
        <w:rFonts w:ascii="Vrinda" w:eastAsia="Times New Roman" w:hAnsi="Vrinda"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0A7C2E"/>
    <w:multiLevelType w:val="hybridMultilevel"/>
    <w:tmpl w:val="BAF24BE2"/>
    <w:lvl w:ilvl="0" w:tplc="DB0CE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0"/>
  </w:num>
  <w:num w:numId="3">
    <w:abstractNumId w:val="5"/>
  </w:num>
  <w:num w:numId="4">
    <w:abstractNumId w:val="32"/>
  </w:num>
  <w:num w:numId="5">
    <w:abstractNumId w:val="8"/>
  </w:num>
  <w:num w:numId="6">
    <w:abstractNumId w:val="19"/>
  </w:num>
  <w:num w:numId="7">
    <w:abstractNumId w:val="13"/>
  </w:num>
  <w:num w:numId="8">
    <w:abstractNumId w:val="4"/>
  </w:num>
  <w:num w:numId="9">
    <w:abstractNumId w:val="18"/>
  </w:num>
  <w:num w:numId="10">
    <w:abstractNumId w:val="33"/>
  </w:num>
  <w:num w:numId="11">
    <w:abstractNumId w:val="24"/>
  </w:num>
  <w:num w:numId="12">
    <w:abstractNumId w:val="22"/>
  </w:num>
  <w:num w:numId="13">
    <w:abstractNumId w:val="39"/>
  </w:num>
  <w:num w:numId="14">
    <w:abstractNumId w:val="35"/>
  </w:num>
  <w:num w:numId="15">
    <w:abstractNumId w:val="1"/>
  </w:num>
  <w:num w:numId="16">
    <w:abstractNumId w:val="6"/>
  </w:num>
  <w:num w:numId="17">
    <w:abstractNumId w:val="15"/>
  </w:num>
  <w:num w:numId="18">
    <w:abstractNumId w:val="37"/>
  </w:num>
  <w:num w:numId="19">
    <w:abstractNumId w:val="36"/>
  </w:num>
  <w:num w:numId="20">
    <w:abstractNumId w:val="10"/>
  </w:num>
  <w:num w:numId="21">
    <w:abstractNumId w:val="34"/>
  </w:num>
  <w:num w:numId="22">
    <w:abstractNumId w:val="23"/>
  </w:num>
  <w:num w:numId="23">
    <w:abstractNumId w:val="26"/>
  </w:num>
  <w:num w:numId="24">
    <w:abstractNumId w:val="27"/>
  </w:num>
  <w:num w:numId="25">
    <w:abstractNumId w:val="12"/>
  </w:num>
  <w:num w:numId="26">
    <w:abstractNumId w:val="0"/>
  </w:num>
  <w:num w:numId="27">
    <w:abstractNumId w:val="20"/>
  </w:num>
  <w:num w:numId="28">
    <w:abstractNumId w:val="38"/>
  </w:num>
  <w:num w:numId="29">
    <w:abstractNumId w:val="31"/>
  </w:num>
  <w:num w:numId="30">
    <w:abstractNumId w:val="28"/>
  </w:num>
  <w:num w:numId="31">
    <w:abstractNumId w:val="9"/>
  </w:num>
  <w:num w:numId="32">
    <w:abstractNumId w:val="3"/>
  </w:num>
  <w:num w:numId="33">
    <w:abstractNumId w:val="21"/>
  </w:num>
  <w:num w:numId="34">
    <w:abstractNumId w:val="7"/>
  </w:num>
  <w:num w:numId="35">
    <w:abstractNumId w:val="14"/>
  </w:num>
  <w:num w:numId="36">
    <w:abstractNumId w:val="11"/>
  </w:num>
  <w:num w:numId="37">
    <w:abstractNumId w:val="25"/>
  </w:num>
  <w:num w:numId="38">
    <w:abstractNumId w:val="2"/>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9C2"/>
    <w:rsid w:val="000011A9"/>
    <w:rsid w:val="00002536"/>
    <w:rsid w:val="000078FF"/>
    <w:rsid w:val="000137D6"/>
    <w:rsid w:val="00014F0D"/>
    <w:rsid w:val="0001653B"/>
    <w:rsid w:val="0004661B"/>
    <w:rsid w:val="000559AE"/>
    <w:rsid w:val="00060EBE"/>
    <w:rsid w:val="00061EC4"/>
    <w:rsid w:val="00065F60"/>
    <w:rsid w:val="00074FDD"/>
    <w:rsid w:val="000750F3"/>
    <w:rsid w:val="00080A6E"/>
    <w:rsid w:val="00083402"/>
    <w:rsid w:val="00084834"/>
    <w:rsid w:val="0008538C"/>
    <w:rsid w:val="00091ADD"/>
    <w:rsid w:val="00095F80"/>
    <w:rsid w:val="00096193"/>
    <w:rsid w:val="0009774D"/>
    <w:rsid w:val="000B5FB2"/>
    <w:rsid w:val="000B75AD"/>
    <w:rsid w:val="000C4D05"/>
    <w:rsid w:val="000C698C"/>
    <w:rsid w:val="000C72C6"/>
    <w:rsid w:val="000D4FC6"/>
    <w:rsid w:val="000D4FDD"/>
    <w:rsid w:val="000D7DEE"/>
    <w:rsid w:val="000E1EC2"/>
    <w:rsid w:val="000E2863"/>
    <w:rsid w:val="000E39AB"/>
    <w:rsid w:val="0010032E"/>
    <w:rsid w:val="001031AC"/>
    <w:rsid w:val="00131B5B"/>
    <w:rsid w:val="0013459E"/>
    <w:rsid w:val="00134AB4"/>
    <w:rsid w:val="00142BAA"/>
    <w:rsid w:val="001612E1"/>
    <w:rsid w:val="00173244"/>
    <w:rsid w:val="00174632"/>
    <w:rsid w:val="00181170"/>
    <w:rsid w:val="00184871"/>
    <w:rsid w:val="00184AA1"/>
    <w:rsid w:val="0018781A"/>
    <w:rsid w:val="00190FED"/>
    <w:rsid w:val="00193E86"/>
    <w:rsid w:val="001A08E1"/>
    <w:rsid w:val="001A0E11"/>
    <w:rsid w:val="001A4A59"/>
    <w:rsid w:val="001B1145"/>
    <w:rsid w:val="001C04FB"/>
    <w:rsid w:val="001C0670"/>
    <w:rsid w:val="001C346B"/>
    <w:rsid w:val="001D5004"/>
    <w:rsid w:val="001D50DB"/>
    <w:rsid w:val="001E0E3C"/>
    <w:rsid w:val="001E1162"/>
    <w:rsid w:val="001E2576"/>
    <w:rsid w:val="001F02F0"/>
    <w:rsid w:val="001F0930"/>
    <w:rsid w:val="001F4532"/>
    <w:rsid w:val="001F4A3D"/>
    <w:rsid w:val="001F6508"/>
    <w:rsid w:val="00201835"/>
    <w:rsid w:val="00202B94"/>
    <w:rsid w:val="002037AC"/>
    <w:rsid w:val="002117F8"/>
    <w:rsid w:val="0021559E"/>
    <w:rsid w:val="002164D8"/>
    <w:rsid w:val="00246D09"/>
    <w:rsid w:val="002546E5"/>
    <w:rsid w:val="00255C90"/>
    <w:rsid w:val="00262A9F"/>
    <w:rsid w:val="002648B0"/>
    <w:rsid w:val="0027200F"/>
    <w:rsid w:val="0027364B"/>
    <w:rsid w:val="00282F0D"/>
    <w:rsid w:val="00283612"/>
    <w:rsid w:val="00283C0A"/>
    <w:rsid w:val="00283F49"/>
    <w:rsid w:val="00284D8E"/>
    <w:rsid w:val="002901BF"/>
    <w:rsid w:val="00296530"/>
    <w:rsid w:val="002969F0"/>
    <w:rsid w:val="002A1067"/>
    <w:rsid w:val="002A247E"/>
    <w:rsid w:val="002A56EE"/>
    <w:rsid w:val="002A6395"/>
    <w:rsid w:val="002B04B6"/>
    <w:rsid w:val="002C055D"/>
    <w:rsid w:val="002C5511"/>
    <w:rsid w:val="002C70AA"/>
    <w:rsid w:val="002C73D0"/>
    <w:rsid w:val="002D1E72"/>
    <w:rsid w:val="002D3509"/>
    <w:rsid w:val="002D4E91"/>
    <w:rsid w:val="002D58C6"/>
    <w:rsid w:val="002E0BEE"/>
    <w:rsid w:val="002F07F6"/>
    <w:rsid w:val="002F4227"/>
    <w:rsid w:val="00301641"/>
    <w:rsid w:val="003056E6"/>
    <w:rsid w:val="00305D27"/>
    <w:rsid w:val="0030633A"/>
    <w:rsid w:val="00307564"/>
    <w:rsid w:val="00315013"/>
    <w:rsid w:val="0031507E"/>
    <w:rsid w:val="003239D6"/>
    <w:rsid w:val="00326294"/>
    <w:rsid w:val="00333142"/>
    <w:rsid w:val="0033388D"/>
    <w:rsid w:val="00335CD3"/>
    <w:rsid w:val="0034770A"/>
    <w:rsid w:val="0035260E"/>
    <w:rsid w:val="00353A9A"/>
    <w:rsid w:val="0037315E"/>
    <w:rsid w:val="00373873"/>
    <w:rsid w:val="003765E1"/>
    <w:rsid w:val="00384435"/>
    <w:rsid w:val="003860A4"/>
    <w:rsid w:val="00391188"/>
    <w:rsid w:val="003925E2"/>
    <w:rsid w:val="00394CED"/>
    <w:rsid w:val="0039515D"/>
    <w:rsid w:val="00396699"/>
    <w:rsid w:val="003A11DA"/>
    <w:rsid w:val="003B1971"/>
    <w:rsid w:val="003B328A"/>
    <w:rsid w:val="003B39A6"/>
    <w:rsid w:val="003B5171"/>
    <w:rsid w:val="003C1CED"/>
    <w:rsid w:val="003C2943"/>
    <w:rsid w:val="003C2C42"/>
    <w:rsid w:val="003C6CA3"/>
    <w:rsid w:val="003D409D"/>
    <w:rsid w:val="003D6C66"/>
    <w:rsid w:val="003E2A79"/>
    <w:rsid w:val="003E54FB"/>
    <w:rsid w:val="003E6C19"/>
    <w:rsid w:val="003E6D5C"/>
    <w:rsid w:val="003F49EB"/>
    <w:rsid w:val="003F542C"/>
    <w:rsid w:val="003F75C6"/>
    <w:rsid w:val="00406181"/>
    <w:rsid w:val="00411D07"/>
    <w:rsid w:val="004155C3"/>
    <w:rsid w:val="004158BD"/>
    <w:rsid w:val="00430A3C"/>
    <w:rsid w:val="00430E79"/>
    <w:rsid w:val="0044344D"/>
    <w:rsid w:val="0045016B"/>
    <w:rsid w:val="00457553"/>
    <w:rsid w:val="0046709B"/>
    <w:rsid w:val="004671A9"/>
    <w:rsid w:val="004724AA"/>
    <w:rsid w:val="00472630"/>
    <w:rsid w:val="00472952"/>
    <w:rsid w:val="00475B10"/>
    <w:rsid w:val="00476909"/>
    <w:rsid w:val="004778AC"/>
    <w:rsid w:val="00477D44"/>
    <w:rsid w:val="004829C2"/>
    <w:rsid w:val="00482E9F"/>
    <w:rsid w:val="00490286"/>
    <w:rsid w:val="00491A51"/>
    <w:rsid w:val="004937BC"/>
    <w:rsid w:val="004944CF"/>
    <w:rsid w:val="00495A65"/>
    <w:rsid w:val="0049683B"/>
    <w:rsid w:val="004A04D5"/>
    <w:rsid w:val="004A080E"/>
    <w:rsid w:val="004A3EA0"/>
    <w:rsid w:val="004A5AAF"/>
    <w:rsid w:val="004C6EEA"/>
    <w:rsid w:val="004D2690"/>
    <w:rsid w:val="004E19B2"/>
    <w:rsid w:val="004F0CCA"/>
    <w:rsid w:val="004F35D0"/>
    <w:rsid w:val="004F37FC"/>
    <w:rsid w:val="00500E50"/>
    <w:rsid w:val="00502576"/>
    <w:rsid w:val="005050EE"/>
    <w:rsid w:val="00507AEF"/>
    <w:rsid w:val="0051221C"/>
    <w:rsid w:val="005162D5"/>
    <w:rsid w:val="0052295D"/>
    <w:rsid w:val="00530BA4"/>
    <w:rsid w:val="0053347B"/>
    <w:rsid w:val="00535D7A"/>
    <w:rsid w:val="00536698"/>
    <w:rsid w:val="00536B6B"/>
    <w:rsid w:val="00541A5A"/>
    <w:rsid w:val="00543637"/>
    <w:rsid w:val="005437FF"/>
    <w:rsid w:val="00547D41"/>
    <w:rsid w:val="005510F3"/>
    <w:rsid w:val="0056072C"/>
    <w:rsid w:val="00586C0D"/>
    <w:rsid w:val="00587515"/>
    <w:rsid w:val="0058765E"/>
    <w:rsid w:val="00594AE5"/>
    <w:rsid w:val="00595C42"/>
    <w:rsid w:val="00595D77"/>
    <w:rsid w:val="005B1A5A"/>
    <w:rsid w:val="005B4AB2"/>
    <w:rsid w:val="005B5A7D"/>
    <w:rsid w:val="005C2952"/>
    <w:rsid w:val="005C4515"/>
    <w:rsid w:val="005D18C7"/>
    <w:rsid w:val="005D2A1D"/>
    <w:rsid w:val="005D4478"/>
    <w:rsid w:val="005D7897"/>
    <w:rsid w:val="005E3C2F"/>
    <w:rsid w:val="005E7252"/>
    <w:rsid w:val="005F7DF0"/>
    <w:rsid w:val="00607532"/>
    <w:rsid w:val="00607C29"/>
    <w:rsid w:val="0061097D"/>
    <w:rsid w:val="0061486D"/>
    <w:rsid w:val="0061713F"/>
    <w:rsid w:val="00617AC5"/>
    <w:rsid w:val="00620EE1"/>
    <w:rsid w:val="00622853"/>
    <w:rsid w:val="00622AD0"/>
    <w:rsid w:val="0062683A"/>
    <w:rsid w:val="006375EF"/>
    <w:rsid w:val="00640FA9"/>
    <w:rsid w:val="00647F01"/>
    <w:rsid w:val="006518E7"/>
    <w:rsid w:val="006721E0"/>
    <w:rsid w:val="006740AC"/>
    <w:rsid w:val="00676EC2"/>
    <w:rsid w:val="0068169D"/>
    <w:rsid w:val="006934D9"/>
    <w:rsid w:val="006958A9"/>
    <w:rsid w:val="0069671D"/>
    <w:rsid w:val="006A1216"/>
    <w:rsid w:val="006A592A"/>
    <w:rsid w:val="006B27A0"/>
    <w:rsid w:val="006B4A4D"/>
    <w:rsid w:val="006B6149"/>
    <w:rsid w:val="006C1B75"/>
    <w:rsid w:val="006C2186"/>
    <w:rsid w:val="006C4E91"/>
    <w:rsid w:val="006C7D8E"/>
    <w:rsid w:val="006D7116"/>
    <w:rsid w:val="006D749B"/>
    <w:rsid w:val="006E1FE5"/>
    <w:rsid w:val="006E2659"/>
    <w:rsid w:val="006F2B83"/>
    <w:rsid w:val="006F6618"/>
    <w:rsid w:val="00707332"/>
    <w:rsid w:val="00710D35"/>
    <w:rsid w:val="0072002D"/>
    <w:rsid w:val="007260D7"/>
    <w:rsid w:val="00726C18"/>
    <w:rsid w:val="0073199D"/>
    <w:rsid w:val="00731F90"/>
    <w:rsid w:val="00733CB0"/>
    <w:rsid w:val="00752252"/>
    <w:rsid w:val="007545C5"/>
    <w:rsid w:val="00761B37"/>
    <w:rsid w:val="00771886"/>
    <w:rsid w:val="00771E24"/>
    <w:rsid w:val="007750C2"/>
    <w:rsid w:val="00777988"/>
    <w:rsid w:val="00783EF3"/>
    <w:rsid w:val="0078438D"/>
    <w:rsid w:val="0078484A"/>
    <w:rsid w:val="00785908"/>
    <w:rsid w:val="00785FAF"/>
    <w:rsid w:val="00792462"/>
    <w:rsid w:val="007A3ADD"/>
    <w:rsid w:val="007A4F6C"/>
    <w:rsid w:val="007C2B2B"/>
    <w:rsid w:val="007D0493"/>
    <w:rsid w:val="007D2078"/>
    <w:rsid w:val="007D3AC5"/>
    <w:rsid w:val="007D40ED"/>
    <w:rsid w:val="007D7AF2"/>
    <w:rsid w:val="007D7B0B"/>
    <w:rsid w:val="007E5FD3"/>
    <w:rsid w:val="007F1CAF"/>
    <w:rsid w:val="007F2429"/>
    <w:rsid w:val="00807935"/>
    <w:rsid w:val="00817C49"/>
    <w:rsid w:val="00822D95"/>
    <w:rsid w:val="00832CF3"/>
    <w:rsid w:val="00844BCC"/>
    <w:rsid w:val="008478FF"/>
    <w:rsid w:val="00852C30"/>
    <w:rsid w:val="00852EFF"/>
    <w:rsid w:val="0085389E"/>
    <w:rsid w:val="00854321"/>
    <w:rsid w:val="00857161"/>
    <w:rsid w:val="00862406"/>
    <w:rsid w:val="00873FA5"/>
    <w:rsid w:val="00875557"/>
    <w:rsid w:val="00875A06"/>
    <w:rsid w:val="00881D6D"/>
    <w:rsid w:val="00890FCC"/>
    <w:rsid w:val="00893442"/>
    <w:rsid w:val="00894FED"/>
    <w:rsid w:val="0089596F"/>
    <w:rsid w:val="008A01E6"/>
    <w:rsid w:val="008A2728"/>
    <w:rsid w:val="008A5CF6"/>
    <w:rsid w:val="008D274A"/>
    <w:rsid w:val="008D33F8"/>
    <w:rsid w:val="008F5D61"/>
    <w:rsid w:val="008F6B3F"/>
    <w:rsid w:val="008F71CD"/>
    <w:rsid w:val="00901B9A"/>
    <w:rsid w:val="00902927"/>
    <w:rsid w:val="00911137"/>
    <w:rsid w:val="0091788F"/>
    <w:rsid w:val="009220BE"/>
    <w:rsid w:val="0093412F"/>
    <w:rsid w:val="0093644A"/>
    <w:rsid w:val="00942A7F"/>
    <w:rsid w:val="0094622B"/>
    <w:rsid w:val="00947C2E"/>
    <w:rsid w:val="00951DA1"/>
    <w:rsid w:val="0095502C"/>
    <w:rsid w:val="009600B0"/>
    <w:rsid w:val="00966125"/>
    <w:rsid w:val="00972C02"/>
    <w:rsid w:val="0097511C"/>
    <w:rsid w:val="009762F0"/>
    <w:rsid w:val="00982B08"/>
    <w:rsid w:val="00986204"/>
    <w:rsid w:val="0098637D"/>
    <w:rsid w:val="00993A13"/>
    <w:rsid w:val="00995C23"/>
    <w:rsid w:val="00995E70"/>
    <w:rsid w:val="00997615"/>
    <w:rsid w:val="009A3DC3"/>
    <w:rsid w:val="009A5A5A"/>
    <w:rsid w:val="009A5ECD"/>
    <w:rsid w:val="009A7B49"/>
    <w:rsid w:val="009B09E3"/>
    <w:rsid w:val="009B337D"/>
    <w:rsid w:val="009B4E98"/>
    <w:rsid w:val="009B6B95"/>
    <w:rsid w:val="009B730A"/>
    <w:rsid w:val="009C0C07"/>
    <w:rsid w:val="009C1F79"/>
    <w:rsid w:val="009C2602"/>
    <w:rsid w:val="009C39EA"/>
    <w:rsid w:val="009C687D"/>
    <w:rsid w:val="009C7E9C"/>
    <w:rsid w:val="009D2FA9"/>
    <w:rsid w:val="009D4B48"/>
    <w:rsid w:val="009E3EA6"/>
    <w:rsid w:val="009E6CDB"/>
    <w:rsid w:val="009E716E"/>
    <w:rsid w:val="009F02FA"/>
    <w:rsid w:val="009F7961"/>
    <w:rsid w:val="00A027BE"/>
    <w:rsid w:val="00A07198"/>
    <w:rsid w:val="00A25013"/>
    <w:rsid w:val="00A2502D"/>
    <w:rsid w:val="00A40DBD"/>
    <w:rsid w:val="00A43F3F"/>
    <w:rsid w:val="00A5603A"/>
    <w:rsid w:val="00A5634B"/>
    <w:rsid w:val="00A62E29"/>
    <w:rsid w:val="00A632A1"/>
    <w:rsid w:val="00A65D48"/>
    <w:rsid w:val="00A66FD9"/>
    <w:rsid w:val="00A67374"/>
    <w:rsid w:val="00A70670"/>
    <w:rsid w:val="00A720EF"/>
    <w:rsid w:val="00A75878"/>
    <w:rsid w:val="00A813DB"/>
    <w:rsid w:val="00A816EB"/>
    <w:rsid w:val="00A82504"/>
    <w:rsid w:val="00A82AA3"/>
    <w:rsid w:val="00A91004"/>
    <w:rsid w:val="00A914BC"/>
    <w:rsid w:val="00A93180"/>
    <w:rsid w:val="00AA4770"/>
    <w:rsid w:val="00AA4F3C"/>
    <w:rsid w:val="00AA54FC"/>
    <w:rsid w:val="00AA759F"/>
    <w:rsid w:val="00AB4E7E"/>
    <w:rsid w:val="00AB79F1"/>
    <w:rsid w:val="00AC39CF"/>
    <w:rsid w:val="00AC44C2"/>
    <w:rsid w:val="00AC522E"/>
    <w:rsid w:val="00AC6474"/>
    <w:rsid w:val="00AD532E"/>
    <w:rsid w:val="00AE1E33"/>
    <w:rsid w:val="00AE3DBD"/>
    <w:rsid w:val="00AE5F80"/>
    <w:rsid w:val="00AE6EC0"/>
    <w:rsid w:val="00AF1C67"/>
    <w:rsid w:val="00AF1E24"/>
    <w:rsid w:val="00AF4F27"/>
    <w:rsid w:val="00AF56B5"/>
    <w:rsid w:val="00B03F89"/>
    <w:rsid w:val="00B04C28"/>
    <w:rsid w:val="00B04C9A"/>
    <w:rsid w:val="00B10D6C"/>
    <w:rsid w:val="00B3450E"/>
    <w:rsid w:val="00B459BD"/>
    <w:rsid w:val="00B45EF1"/>
    <w:rsid w:val="00B45F74"/>
    <w:rsid w:val="00B510BF"/>
    <w:rsid w:val="00B54D62"/>
    <w:rsid w:val="00B574A9"/>
    <w:rsid w:val="00B63958"/>
    <w:rsid w:val="00B65A0F"/>
    <w:rsid w:val="00B700A6"/>
    <w:rsid w:val="00B7169C"/>
    <w:rsid w:val="00B72B6A"/>
    <w:rsid w:val="00B72EB4"/>
    <w:rsid w:val="00B75D1B"/>
    <w:rsid w:val="00B87A18"/>
    <w:rsid w:val="00B93B8F"/>
    <w:rsid w:val="00BA23EF"/>
    <w:rsid w:val="00BB0357"/>
    <w:rsid w:val="00BB681C"/>
    <w:rsid w:val="00BC447A"/>
    <w:rsid w:val="00BD369B"/>
    <w:rsid w:val="00BD499A"/>
    <w:rsid w:val="00BE6672"/>
    <w:rsid w:val="00BE667A"/>
    <w:rsid w:val="00BF09CB"/>
    <w:rsid w:val="00C02A54"/>
    <w:rsid w:val="00C03DBF"/>
    <w:rsid w:val="00C054A6"/>
    <w:rsid w:val="00C11448"/>
    <w:rsid w:val="00C147B0"/>
    <w:rsid w:val="00C14A3A"/>
    <w:rsid w:val="00C16C64"/>
    <w:rsid w:val="00C24179"/>
    <w:rsid w:val="00C2566F"/>
    <w:rsid w:val="00C269D8"/>
    <w:rsid w:val="00C277CF"/>
    <w:rsid w:val="00C31C60"/>
    <w:rsid w:val="00C40193"/>
    <w:rsid w:val="00C40486"/>
    <w:rsid w:val="00C42B3B"/>
    <w:rsid w:val="00C42F08"/>
    <w:rsid w:val="00C44E25"/>
    <w:rsid w:val="00C532DB"/>
    <w:rsid w:val="00C53FC9"/>
    <w:rsid w:val="00C54DF7"/>
    <w:rsid w:val="00C55A6C"/>
    <w:rsid w:val="00C56E36"/>
    <w:rsid w:val="00C67EEC"/>
    <w:rsid w:val="00C70379"/>
    <w:rsid w:val="00C71DCD"/>
    <w:rsid w:val="00C76E6E"/>
    <w:rsid w:val="00C77EA7"/>
    <w:rsid w:val="00C83B89"/>
    <w:rsid w:val="00C850AE"/>
    <w:rsid w:val="00CA00DA"/>
    <w:rsid w:val="00CA0EFB"/>
    <w:rsid w:val="00CA1EF6"/>
    <w:rsid w:val="00CB0F61"/>
    <w:rsid w:val="00CB13CF"/>
    <w:rsid w:val="00CB3116"/>
    <w:rsid w:val="00CC007E"/>
    <w:rsid w:val="00CC2D74"/>
    <w:rsid w:val="00CC39E2"/>
    <w:rsid w:val="00CC4EF9"/>
    <w:rsid w:val="00CD0434"/>
    <w:rsid w:val="00CD761E"/>
    <w:rsid w:val="00CD7888"/>
    <w:rsid w:val="00CE501E"/>
    <w:rsid w:val="00CE52A8"/>
    <w:rsid w:val="00D134F4"/>
    <w:rsid w:val="00D16EF0"/>
    <w:rsid w:val="00D2085C"/>
    <w:rsid w:val="00D23C46"/>
    <w:rsid w:val="00D36DE0"/>
    <w:rsid w:val="00D47AD4"/>
    <w:rsid w:val="00D47DD0"/>
    <w:rsid w:val="00D53762"/>
    <w:rsid w:val="00D543FB"/>
    <w:rsid w:val="00D64266"/>
    <w:rsid w:val="00D716DB"/>
    <w:rsid w:val="00D743C5"/>
    <w:rsid w:val="00D76600"/>
    <w:rsid w:val="00D814A7"/>
    <w:rsid w:val="00D81744"/>
    <w:rsid w:val="00D81F64"/>
    <w:rsid w:val="00D82F23"/>
    <w:rsid w:val="00D933D0"/>
    <w:rsid w:val="00D96F8D"/>
    <w:rsid w:val="00D972E5"/>
    <w:rsid w:val="00DA4BCE"/>
    <w:rsid w:val="00DA4EC1"/>
    <w:rsid w:val="00DB2457"/>
    <w:rsid w:val="00DC6462"/>
    <w:rsid w:val="00DC6B20"/>
    <w:rsid w:val="00DD3C8E"/>
    <w:rsid w:val="00DD594F"/>
    <w:rsid w:val="00DE6700"/>
    <w:rsid w:val="00DF2B78"/>
    <w:rsid w:val="00DF75F7"/>
    <w:rsid w:val="00E11722"/>
    <w:rsid w:val="00E12B8E"/>
    <w:rsid w:val="00E13988"/>
    <w:rsid w:val="00E14E8B"/>
    <w:rsid w:val="00E16F01"/>
    <w:rsid w:val="00E245B6"/>
    <w:rsid w:val="00E36E59"/>
    <w:rsid w:val="00E370EB"/>
    <w:rsid w:val="00E41A5A"/>
    <w:rsid w:val="00E420D0"/>
    <w:rsid w:val="00E5343A"/>
    <w:rsid w:val="00E57A13"/>
    <w:rsid w:val="00E61E7D"/>
    <w:rsid w:val="00E622AF"/>
    <w:rsid w:val="00E6369B"/>
    <w:rsid w:val="00E705B2"/>
    <w:rsid w:val="00E769B3"/>
    <w:rsid w:val="00E842F2"/>
    <w:rsid w:val="00E85548"/>
    <w:rsid w:val="00E8611E"/>
    <w:rsid w:val="00E86B8C"/>
    <w:rsid w:val="00E90302"/>
    <w:rsid w:val="00E92A0C"/>
    <w:rsid w:val="00E95D3C"/>
    <w:rsid w:val="00EA5476"/>
    <w:rsid w:val="00EA64E5"/>
    <w:rsid w:val="00EB18C6"/>
    <w:rsid w:val="00EB479B"/>
    <w:rsid w:val="00EB778F"/>
    <w:rsid w:val="00EB7BC4"/>
    <w:rsid w:val="00ED1F21"/>
    <w:rsid w:val="00ED301E"/>
    <w:rsid w:val="00ED697B"/>
    <w:rsid w:val="00EE4337"/>
    <w:rsid w:val="00EF6111"/>
    <w:rsid w:val="00F02ADE"/>
    <w:rsid w:val="00F12C6E"/>
    <w:rsid w:val="00F130C6"/>
    <w:rsid w:val="00F13394"/>
    <w:rsid w:val="00F24D05"/>
    <w:rsid w:val="00F27936"/>
    <w:rsid w:val="00F27DA6"/>
    <w:rsid w:val="00F31799"/>
    <w:rsid w:val="00F33E01"/>
    <w:rsid w:val="00F35F5E"/>
    <w:rsid w:val="00F42C3A"/>
    <w:rsid w:val="00F44BE5"/>
    <w:rsid w:val="00F45219"/>
    <w:rsid w:val="00F532F6"/>
    <w:rsid w:val="00F62BA0"/>
    <w:rsid w:val="00F65357"/>
    <w:rsid w:val="00F66E3C"/>
    <w:rsid w:val="00F7154D"/>
    <w:rsid w:val="00F72E3B"/>
    <w:rsid w:val="00F80D3A"/>
    <w:rsid w:val="00F82B91"/>
    <w:rsid w:val="00F8336C"/>
    <w:rsid w:val="00F847E7"/>
    <w:rsid w:val="00F862C4"/>
    <w:rsid w:val="00F86E0C"/>
    <w:rsid w:val="00F9024B"/>
    <w:rsid w:val="00F95F88"/>
    <w:rsid w:val="00FA0374"/>
    <w:rsid w:val="00FA328A"/>
    <w:rsid w:val="00FB03DF"/>
    <w:rsid w:val="00FB2E3C"/>
    <w:rsid w:val="00FC1657"/>
    <w:rsid w:val="00FC3C0B"/>
    <w:rsid w:val="00FD2E13"/>
    <w:rsid w:val="00FE2189"/>
    <w:rsid w:val="00FE602B"/>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829C2"/>
    <w:pPr>
      <w:widowControl w:val="0"/>
      <w:suppressAutoHyphens/>
    </w:pPr>
  </w:style>
  <w:style w:type="character" w:customStyle="1" w:styleId="BodyTextChar">
    <w:name w:val="Body Text Char"/>
    <w:basedOn w:val="DefaultParagraphFont"/>
    <w:link w:val="BodyText"/>
    <w:rsid w:val="004829C2"/>
    <w:rPr>
      <w:rFonts w:ascii="Times New Roman" w:eastAsia="Times New Roman" w:hAnsi="Times New Roman" w:cs="Times New Roman"/>
      <w:sz w:val="24"/>
      <w:szCs w:val="24"/>
    </w:rPr>
  </w:style>
  <w:style w:type="paragraph" w:styleId="Footer">
    <w:name w:val="footer"/>
    <w:basedOn w:val="Normal"/>
    <w:link w:val="FooterChar"/>
    <w:uiPriority w:val="99"/>
    <w:rsid w:val="004829C2"/>
    <w:pPr>
      <w:tabs>
        <w:tab w:val="center" w:pos="4320"/>
        <w:tab w:val="right" w:pos="8640"/>
      </w:tabs>
    </w:pPr>
  </w:style>
  <w:style w:type="character" w:customStyle="1" w:styleId="FooterChar">
    <w:name w:val="Footer Char"/>
    <w:basedOn w:val="DefaultParagraphFont"/>
    <w:link w:val="Footer"/>
    <w:uiPriority w:val="99"/>
    <w:rsid w:val="004829C2"/>
    <w:rPr>
      <w:rFonts w:ascii="Times New Roman" w:eastAsia="Times New Roman" w:hAnsi="Times New Roman" w:cs="Times New Roman"/>
      <w:sz w:val="24"/>
      <w:szCs w:val="24"/>
    </w:rPr>
  </w:style>
  <w:style w:type="character" w:styleId="PageNumber">
    <w:name w:val="page number"/>
    <w:basedOn w:val="DefaultParagraphFont"/>
    <w:rsid w:val="004829C2"/>
  </w:style>
  <w:style w:type="paragraph" w:styleId="ListParagraph">
    <w:name w:val="List Paragraph"/>
    <w:basedOn w:val="Normal"/>
    <w:link w:val="ListParagraphChar"/>
    <w:uiPriority w:val="34"/>
    <w:qFormat/>
    <w:rsid w:val="004829C2"/>
    <w:pPr>
      <w:ind w:left="720"/>
      <w:contextualSpacing/>
    </w:pPr>
  </w:style>
  <w:style w:type="paragraph" w:styleId="Header">
    <w:name w:val="header"/>
    <w:basedOn w:val="Normal"/>
    <w:link w:val="HeaderChar"/>
    <w:uiPriority w:val="99"/>
    <w:semiHidden/>
    <w:unhideWhenUsed/>
    <w:rsid w:val="009B337D"/>
    <w:pPr>
      <w:tabs>
        <w:tab w:val="center" w:pos="4680"/>
        <w:tab w:val="right" w:pos="9360"/>
      </w:tabs>
    </w:pPr>
  </w:style>
  <w:style w:type="character" w:customStyle="1" w:styleId="HeaderChar">
    <w:name w:val="Header Char"/>
    <w:basedOn w:val="DefaultParagraphFont"/>
    <w:link w:val="Header"/>
    <w:uiPriority w:val="99"/>
    <w:semiHidden/>
    <w:rsid w:val="009B33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FB2"/>
    <w:rPr>
      <w:rFonts w:ascii="Tahoma" w:hAnsi="Tahoma" w:cs="Tahoma"/>
      <w:sz w:val="16"/>
      <w:szCs w:val="16"/>
    </w:rPr>
  </w:style>
  <w:style w:type="character" w:customStyle="1" w:styleId="BalloonTextChar">
    <w:name w:val="Balloon Text Char"/>
    <w:basedOn w:val="DefaultParagraphFont"/>
    <w:link w:val="BalloonText"/>
    <w:uiPriority w:val="99"/>
    <w:semiHidden/>
    <w:rsid w:val="000B5FB2"/>
    <w:rPr>
      <w:rFonts w:ascii="Tahoma" w:eastAsia="Times New Roman" w:hAnsi="Tahoma" w:cs="Tahoma"/>
      <w:sz w:val="16"/>
      <w:szCs w:val="16"/>
    </w:rPr>
  </w:style>
  <w:style w:type="paragraph" w:styleId="NormalWeb">
    <w:name w:val="Normal (Web)"/>
    <w:basedOn w:val="Normal"/>
    <w:unhideWhenUsed/>
    <w:rsid w:val="0072002D"/>
    <w:pPr>
      <w:spacing w:before="100" w:beforeAutospacing="1" w:after="100" w:afterAutospacing="1"/>
    </w:pPr>
  </w:style>
  <w:style w:type="character" w:customStyle="1" w:styleId="ListParagraphChar">
    <w:name w:val="List Paragraph Char"/>
    <w:link w:val="ListParagraph"/>
    <w:uiPriority w:val="34"/>
    <w:rsid w:val="0072002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4BE5"/>
    <w:rPr>
      <w:sz w:val="16"/>
      <w:szCs w:val="16"/>
    </w:rPr>
  </w:style>
  <w:style w:type="paragraph" w:styleId="CommentText">
    <w:name w:val="annotation text"/>
    <w:basedOn w:val="Normal"/>
    <w:link w:val="CommentTextChar"/>
    <w:uiPriority w:val="99"/>
    <w:unhideWhenUsed/>
    <w:rsid w:val="00F44BE5"/>
    <w:pPr>
      <w:spacing w:before="120"/>
    </w:pPr>
    <w:rPr>
      <w:rFonts w:eastAsia="Calibri"/>
      <w:sz w:val="20"/>
      <w:szCs w:val="20"/>
    </w:rPr>
  </w:style>
  <w:style w:type="character" w:customStyle="1" w:styleId="CommentTextChar">
    <w:name w:val="Comment Text Char"/>
    <w:basedOn w:val="DefaultParagraphFont"/>
    <w:link w:val="CommentText"/>
    <w:uiPriority w:val="99"/>
    <w:rsid w:val="00F44BE5"/>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120">
      <w:bodyDiv w:val="1"/>
      <w:marLeft w:val="0"/>
      <w:marRight w:val="0"/>
      <w:marTop w:val="0"/>
      <w:marBottom w:val="0"/>
      <w:divBdr>
        <w:top w:val="none" w:sz="0" w:space="0" w:color="auto"/>
        <w:left w:val="none" w:sz="0" w:space="0" w:color="auto"/>
        <w:bottom w:val="none" w:sz="0" w:space="0" w:color="auto"/>
        <w:right w:val="none" w:sz="0" w:space="0" w:color="auto"/>
      </w:divBdr>
    </w:div>
    <w:div w:id="154759753">
      <w:bodyDiv w:val="1"/>
      <w:marLeft w:val="0"/>
      <w:marRight w:val="0"/>
      <w:marTop w:val="0"/>
      <w:marBottom w:val="0"/>
      <w:divBdr>
        <w:top w:val="none" w:sz="0" w:space="0" w:color="auto"/>
        <w:left w:val="none" w:sz="0" w:space="0" w:color="auto"/>
        <w:bottom w:val="none" w:sz="0" w:space="0" w:color="auto"/>
        <w:right w:val="none" w:sz="0" w:space="0" w:color="auto"/>
      </w:divBdr>
    </w:div>
    <w:div w:id="162085848">
      <w:bodyDiv w:val="1"/>
      <w:marLeft w:val="0"/>
      <w:marRight w:val="0"/>
      <w:marTop w:val="0"/>
      <w:marBottom w:val="0"/>
      <w:divBdr>
        <w:top w:val="none" w:sz="0" w:space="0" w:color="auto"/>
        <w:left w:val="none" w:sz="0" w:space="0" w:color="auto"/>
        <w:bottom w:val="none" w:sz="0" w:space="0" w:color="auto"/>
        <w:right w:val="none" w:sz="0" w:space="0" w:color="auto"/>
      </w:divBdr>
    </w:div>
    <w:div w:id="265893030">
      <w:bodyDiv w:val="1"/>
      <w:marLeft w:val="0"/>
      <w:marRight w:val="0"/>
      <w:marTop w:val="0"/>
      <w:marBottom w:val="0"/>
      <w:divBdr>
        <w:top w:val="none" w:sz="0" w:space="0" w:color="auto"/>
        <w:left w:val="none" w:sz="0" w:space="0" w:color="auto"/>
        <w:bottom w:val="none" w:sz="0" w:space="0" w:color="auto"/>
        <w:right w:val="none" w:sz="0" w:space="0" w:color="auto"/>
      </w:divBdr>
    </w:div>
    <w:div w:id="451553139">
      <w:bodyDiv w:val="1"/>
      <w:marLeft w:val="0"/>
      <w:marRight w:val="0"/>
      <w:marTop w:val="0"/>
      <w:marBottom w:val="0"/>
      <w:divBdr>
        <w:top w:val="none" w:sz="0" w:space="0" w:color="auto"/>
        <w:left w:val="none" w:sz="0" w:space="0" w:color="auto"/>
        <w:bottom w:val="none" w:sz="0" w:space="0" w:color="auto"/>
        <w:right w:val="none" w:sz="0" w:space="0" w:color="auto"/>
      </w:divBdr>
    </w:div>
    <w:div w:id="474106500">
      <w:bodyDiv w:val="1"/>
      <w:marLeft w:val="0"/>
      <w:marRight w:val="0"/>
      <w:marTop w:val="0"/>
      <w:marBottom w:val="0"/>
      <w:divBdr>
        <w:top w:val="none" w:sz="0" w:space="0" w:color="auto"/>
        <w:left w:val="none" w:sz="0" w:space="0" w:color="auto"/>
        <w:bottom w:val="none" w:sz="0" w:space="0" w:color="auto"/>
        <w:right w:val="none" w:sz="0" w:space="0" w:color="auto"/>
      </w:divBdr>
    </w:div>
    <w:div w:id="479226210">
      <w:bodyDiv w:val="1"/>
      <w:marLeft w:val="0"/>
      <w:marRight w:val="0"/>
      <w:marTop w:val="0"/>
      <w:marBottom w:val="0"/>
      <w:divBdr>
        <w:top w:val="none" w:sz="0" w:space="0" w:color="auto"/>
        <w:left w:val="none" w:sz="0" w:space="0" w:color="auto"/>
        <w:bottom w:val="none" w:sz="0" w:space="0" w:color="auto"/>
        <w:right w:val="none" w:sz="0" w:space="0" w:color="auto"/>
      </w:divBdr>
    </w:div>
    <w:div w:id="564218647">
      <w:bodyDiv w:val="1"/>
      <w:marLeft w:val="0"/>
      <w:marRight w:val="0"/>
      <w:marTop w:val="0"/>
      <w:marBottom w:val="0"/>
      <w:divBdr>
        <w:top w:val="none" w:sz="0" w:space="0" w:color="auto"/>
        <w:left w:val="none" w:sz="0" w:space="0" w:color="auto"/>
        <w:bottom w:val="none" w:sz="0" w:space="0" w:color="auto"/>
        <w:right w:val="none" w:sz="0" w:space="0" w:color="auto"/>
      </w:divBdr>
    </w:div>
    <w:div w:id="584725086">
      <w:bodyDiv w:val="1"/>
      <w:marLeft w:val="0"/>
      <w:marRight w:val="0"/>
      <w:marTop w:val="0"/>
      <w:marBottom w:val="0"/>
      <w:divBdr>
        <w:top w:val="none" w:sz="0" w:space="0" w:color="auto"/>
        <w:left w:val="none" w:sz="0" w:space="0" w:color="auto"/>
        <w:bottom w:val="none" w:sz="0" w:space="0" w:color="auto"/>
        <w:right w:val="none" w:sz="0" w:space="0" w:color="auto"/>
      </w:divBdr>
    </w:div>
    <w:div w:id="659583026">
      <w:bodyDiv w:val="1"/>
      <w:marLeft w:val="0"/>
      <w:marRight w:val="0"/>
      <w:marTop w:val="0"/>
      <w:marBottom w:val="0"/>
      <w:divBdr>
        <w:top w:val="none" w:sz="0" w:space="0" w:color="auto"/>
        <w:left w:val="none" w:sz="0" w:space="0" w:color="auto"/>
        <w:bottom w:val="none" w:sz="0" w:space="0" w:color="auto"/>
        <w:right w:val="none" w:sz="0" w:space="0" w:color="auto"/>
      </w:divBdr>
    </w:div>
    <w:div w:id="692849431">
      <w:bodyDiv w:val="1"/>
      <w:marLeft w:val="0"/>
      <w:marRight w:val="0"/>
      <w:marTop w:val="0"/>
      <w:marBottom w:val="0"/>
      <w:divBdr>
        <w:top w:val="none" w:sz="0" w:space="0" w:color="auto"/>
        <w:left w:val="none" w:sz="0" w:space="0" w:color="auto"/>
        <w:bottom w:val="none" w:sz="0" w:space="0" w:color="auto"/>
        <w:right w:val="none" w:sz="0" w:space="0" w:color="auto"/>
      </w:divBdr>
    </w:div>
    <w:div w:id="720131786">
      <w:bodyDiv w:val="1"/>
      <w:marLeft w:val="0"/>
      <w:marRight w:val="0"/>
      <w:marTop w:val="0"/>
      <w:marBottom w:val="0"/>
      <w:divBdr>
        <w:top w:val="none" w:sz="0" w:space="0" w:color="auto"/>
        <w:left w:val="none" w:sz="0" w:space="0" w:color="auto"/>
        <w:bottom w:val="none" w:sz="0" w:space="0" w:color="auto"/>
        <w:right w:val="none" w:sz="0" w:space="0" w:color="auto"/>
      </w:divBdr>
    </w:div>
    <w:div w:id="720324034">
      <w:bodyDiv w:val="1"/>
      <w:marLeft w:val="0"/>
      <w:marRight w:val="0"/>
      <w:marTop w:val="0"/>
      <w:marBottom w:val="0"/>
      <w:divBdr>
        <w:top w:val="none" w:sz="0" w:space="0" w:color="auto"/>
        <w:left w:val="none" w:sz="0" w:space="0" w:color="auto"/>
        <w:bottom w:val="none" w:sz="0" w:space="0" w:color="auto"/>
        <w:right w:val="none" w:sz="0" w:space="0" w:color="auto"/>
      </w:divBdr>
    </w:div>
    <w:div w:id="766274663">
      <w:bodyDiv w:val="1"/>
      <w:marLeft w:val="0"/>
      <w:marRight w:val="0"/>
      <w:marTop w:val="0"/>
      <w:marBottom w:val="0"/>
      <w:divBdr>
        <w:top w:val="none" w:sz="0" w:space="0" w:color="auto"/>
        <w:left w:val="none" w:sz="0" w:space="0" w:color="auto"/>
        <w:bottom w:val="none" w:sz="0" w:space="0" w:color="auto"/>
        <w:right w:val="none" w:sz="0" w:space="0" w:color="auto"/>
      </w:divBdr>
    </w:div>
    <w:div w:id="840392667">
      <w:bodyDiv w:val="1"/>
      <w:marLeft w:val="0"/>
      <w:marRight w:val="0"/>
      <w:marTop w:val="0"/>
      <w:marBottom w:val="0"/>
      <w:divBdr>
        <w:top w:val="none" w:sz="0" w:space="0" w:color="auto"/>
        <w:left w:val="none" w:sz="0" w:space="0" w:color="auto"/>
        <w:bottom w:val="none" w:sz="0" w:space="0" w:color="auto"/>
        <w:right w:val="none" w:sz="0" w:space="0" w:color="auto"/>
      </w:divBdr>
    </w:div>
    <w:div w:id="850950578">
      <w:bodyDiv w:val="1"/>
      <w:marLeft w:val="0"/>
      <w:marRight w:val="0"/>
      <w:marTop w:val="0"/>
      <w:marBottom w:val="0"/>
      <w:divBdr>
        <w:top w:val="none" w:sz="0" w:space="0" w:color="auto"/>
        <w:left w:val="none" w:sz="0" w:space="0" w:color="auto"/>
        <w:bottom w:val="none" w:sz="0" w:space="0" w:color="auto"/>
        <w:right w:val="none" w:sz="0" w:space="0" w:color="auto"/>
      </w:divBdr>
    </w:div>
    <w:div w:id="890071206">
      <w:bodyDiv w:val="1"/>
      <w:marLeft w:val="0"/>
      <w:marRight w:val="0"/>
      <w:marTop w:val="0"/>
      <w:marBottom w:val="0"/>
      <w:divBdr>
        <w:top w:val="none" w:sz="0" w:space="0" w:color="auto"/>
        <w:left w:val="none" w:sz="0" w:space="0" w:color="auto"/>
        <w:bottom w:val="none" w:sz="0" w:space="0" w:color="auto"/>
        <w:right w:val="none" w:sz="0" w:space="0" w:color="auto"/>
      </w:divBdr>
    </w:div>
    <w:div w:id="949629506">
      <w:bodyDiv w:val="1"/>
      <w:marLeft w:val="0"/>
      <w:marRight w:val="0"/>
      <w:marTop w:val="0"/>
      <w:marBottom w:val="0"/>
      <w:divBdr>
        <w:top w:val="none" w:sz="0" w:space="0" w:color="auto"/>
        <w:left w:val="none" w:sz="0" w:space="0" w:color="auto"/>
        <w:bottom w:val="none" w:sz="0" w:space="0" w:color="auto"/>
        <w:right w:val="none" w:sz="0" w:space="0" w:color="auto"/>
      </w:divBdr>
    </w:div>
    <w:div w:id="1009403568">
      <w:bodyDiv w:val="1"/>
      <w:marLeft w:val="0"/>
      <w:marRight w:val="0"/>
      <w:marTop w:val="0"/>
      <w:marBottom w:val="0"/>
      <w:divBdr>
        <w:top w:val="none" w:sz="0" w:space="0" w:color="auto"/>
        <w:left w:val="none" w:sz="0" w:space="0" w:color="auto"/>
        <w:bottom w:val="none" w:sz="0" w:space="0" w:color="auto"/>
        <w:right w:val="none" w:sz="0" w:space="0" w:color="auto"/>
      </w:divBdr>
    </w:div>
    <w:div w:id="1067920192">
      <w:bodyDiv w:val="1"/>
      <w:marLeft w:val="0"/>
      <w:marRight w:val="0"/>
      <w:marTop w:val="0"/>
      <w:marBottom w:val="0"/>
      <w:divBdr>
        <w:top w:val="none" w:sz="0" w:space="0" w:color="auto"/>
        <w:left w:val="none" w:sz="0" w:space="0" w:color="auto"/>
        <w:bottom w:val="none" w:sz="0" w:space="0" w:color="auto"/>
        <w:right w:val="none" w:sz="0" w:space="0" w:color="auto"/>
      </w:divBdr>
    </w:div>
    <w:div w:id="1181504285">
      <w:bodyDiv w:val="1"/>
      <w:marLeft w:val="0"/>
      <w:marRight w:val="0"/>
      <w:marTop w:val="0"/>
      <w:marBottom w:val="0"/>
      <w:divBdr>
        <w:top w:val="none" w:sz="0" w:space="0" w:color="auto"/>
        <w:left w:val="none" w:sz="0" w:space="0" w:color="auto"/>
        <w:bottom w:val="none" w:sz="0" w:space="0" w:color="auto"/>
        <w:right w:val="none" w:sz="0" w:space="0" w:color="auto"/>
      </w:divBdr>
    </w:div>
    <w:div w:id="1392583933">
      <w:bodyDiv w:val="1"/>
      <w:marLeft w:val="0"/>
      <w:marRight w:val="0"/>
      <w:marTop w:val="0"/>
      <w:marBottom w:val="0"/>
      <w:divBdr>
        <w:top w:val="none" w:sz="0" w:space="0" w:color="auto"/>
        <w:left w:val="none" w:sz="0" w:space="0" w:color="auto"/>
        <w:bottom w:val="none" w:sz="0" w:space="0" w:color="auto"/>
        <w:right w:val="none" w:sz="0" w:space="0" w:color="auto"/>
      </w:divBdr>
    </w:div>
    <w:div w:id="1485701355">
      <w:bodyDiv w:val="1"/>
      <w:marLeft w:val="0"/>
      <w:marRight w:val="0"/>
      <w:marTop w:val="0"/>
      <w:marBottom w:val="0"/>
      <w:divBdr>
        <w:top w:val="none" w:sz="0" w:space="0" w:color="auto"/>
        <w:left w:val="none" w:sz="0" w:space="0" w:color="auto"/>
        <w:bottom w:val="none" w:sz="0" w:space="0" w:color="auto"/>
        <w:right w:val="none" w:sz="0" w:space="0" w:color="auto"/>
      </w:divBdr>
    </w:div>
    <w:div w:id="1524201273">
      <w:bodyDiv w:val="1"/>
      <w:marLeft w:val="0"/>
      <w:marRight w:val="0"/>
      <w:marTop w:val="0"/>
      <w:marBottom w:val="0"/>
      <w:divBdr>
        <w:top w:val="none" w:sz="0" w:space="0" w:color="auto"/>
        <w:left w:val="none" w:sz="0" w:space="0" w:color="auto"/>
        <w:bottom w:val="none" w:sz="0" w:space="0" w:color="auto"/>
        <w:right w:val="none" w:sz="0" w:space="0" w:color="auto"/>
      </w:divBdr>
    </w:div>
    <w:div w:id="1650750564">
      <w:bodyDiv w:val="1"/>
      <w:marLeft w:val="0"/>
      <w:marRight w:val="0"/>
      <w:marTop w:val="0"/>
      <w:marBottom w:val="0"/>
      <w:divBdr>
        <w:top w:val="none" w:sz="0" w:space="0" w:color="auto"/>
        <w:left w:val="none" w:sz="0" w:space="0" w:color="auto"/>
        <w:bottom w:val="none" w:sz="0" w:space="0" w:color="auto"/>
        <w:right w:val="none" w:sz="0" w:space="0" w:color="auto"/>
      </w:divBdr>
    </w:div>
    <w:div w:id="1840198586">
      <w:bodyDiv w:val="1"/>
      <w:marLeft w:val="0"/>
      <w:marRight w:val="0"/>
      <w:marTop w:val="0"/>
      <w:marBottom w:val="0"/>
      <w:divBdr>
        <w:top w:val="none" w:sz="0" w:space="0" w:color="auto"/>
        <w:left w:val="none" w:sz="0" w:space="0" w:color="auto"/>
        <w:bottom w:val="none" w:sz="0" w:space="0" w:color="auto"/>
        <w:right w:val="none" w:sz="0" w:space="0" w:color="auto"/>
      </w:divBdr>
    </w:div>
    <w:div w:id="1933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A3A7-1C6D-4443-AC5C-0C8D514E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nttien</dc:creator>
  <cp:keywords/>
  <dc:description/>
  <cp:lastModifiedBy>Tien Nguyen (Nguyen Thi Tien)</cp:lastModifiedBy>
  <cp:revision>321</cp:revision>
  <cp:lastPrinted>2016-03-01T04:34:00Z</cp:lastPrinted>
  <dcterms:created xsi:type="dcterms:W3CDTF">2011-04-02T02:51:00Z</dcterms:created>
  <dcterms:modified xsi:type="dcterms:W3CDTF">2016-03-01T04:34:00Z</dcterms:modified>
</cp:coreProperties>
</file>